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9D955C">
      <w:r>
        <w:t>问题重述</w:t>
      </w:r>
    </w:p>
    <w:p w14:paraId="252F9C6A">
      <w:r>
        <w:t>一、 问题背景</w:t>
      </w:r>
    </w:p>
    <w:p w14:paraId="3EED9564">
      <w:r>
        <w:t>随着数字经济时代的到来，零售行业正经历着深刻的转型与升级，精细化运营已成为商超企业在激烈市场竞争中脱颖而出的核心能力。生鲜商品作为商超吸引客流、提升消费黏性的关键品类，其经营管理水平直接关系到企业的整体盈利能力与市场地位。</w:t>
      </w:r>
    </w:p>
    <w:p w14:paraId="1B24B4A5">
      <w:r>
        <w:t>在生鲜商品中，蔬菜类商品因其固有的保鲜期短、易损耗、品相随时间快速下降等特性，给商超的日常运营带来了巨大挑战。商超通常需要在每日凌晨，即不完全掌握当日确切进货价格与市场需求的情况下，迅速制定出品种繁多、来源各异的蔬菜商品的补货与定价计划。</w:t>
      </w:r>
    </w:p>
    <w:p w14:paraId="52C7A36C">
      <w:r>
        <w:t>由此，商超经营的核心矛盾便凸显出来：一方面，若补货量过大或定价不合理，将导致商品滞销、损耗增加，最终侵蚀利润；另一方面，若补货量不足，则会错失销售机会，影响顾客满意度与忠诚度。如何在信息不充分的条件下，实现供给与需求的动态平衡，成为蔬菜供应链管理中亟待解决的现实难题。</w:t>
      </w:r>
    </w:p>
    <w:p w14:paraId="11BEBA3D">
      <w:r>
        <w:t>因此，运用数学建模、数据分析等科学方法，深入挖掘历史销售数据、批发价格及损耗率中蕴含的规律与关联，构建精准的需求预测与优化决策模型，对于提升商超在蔬菜类商品经营上的科学决策水平、降低运营风险、实现收益最大化具有至关重要的理论价值与现实指导意义。</w:t>
      </w:r>
    </w:p>
    <w:p w14:paraId="52604425">
      <w:r>
        <w:t>二、 问题要求</w:t>
      </w:r>
    </w:p>
    <w:p w14:paraId="30A3EA0F">
      <w:r>
        <w:t>为应对上述挑战，并实现商超运营利润最大化的最终目标，我们需要基于所提供的附件数据与资料，建立数学模型，系统性地解决以下具体问题：</w:t>
      </w:r>
    </w:p>
    <w:p w14:paraId="78564CBB"/>
    <w:p w14:paraId="45EA7AB2">
      <w:r>
        <w:t>问题一：深入分析各蔬菜品类及单品销售量的统计分布规律，并量化不同品类之间、不同单品之间在销售量上可能存在的相互关联关系。</w:t>
      </w:r>
    </w:p>
    <w:p w14:paraId="75C47F32"/>
    <w:p w14:paraId="07BD8D82">
      <w:r>
        <w:t>问题二：在以“品类”为单位进行补货的框架下，研究各蔬菜品类的销售总量与“成本加成定价”策略之间的关系。基于此关系，建立优化模型，求解并给出未来一周（2023年7月1日至7日）各品类的每日补货总量与最优定价策略，以实现商超总体收益的最大化。</w:t>
      </w:r>
    </w:p>
    <w:p w14:paraId="0A9AADC9"/>
    <w:p w14:paraId="2565050E">
      <w:r>
        <w:t>问题三：考虑到销售空间的物理限制，进一步细化补货颗粒度至“单品”级别。要求在可售单品总数介于27至33个，且每个单品订购量不低于2.5千克最小陈列量的约束下，依据2023年6月24日至30日的可售品种信息，为7月1日制定具体的单品补货量与定价策略，其目标是在尽可能满足市场需求的前提下，最大化当日商超的预期收益。</w:t>
      </w:r>
    </w:p>
    <w:p w14:paraId="5E56D67C"/>
    <w:p w14:paraId="43992652">
      <w:r>
        <w:t>问题四：从优化决策模型的实际应用与持续改进角度出发，探讨为更精准地制定蔬菜商品的补货与定价策略，商超还需要采集哪些额外的数据。并请详细阐述这些数据将如何帮助解决上述问题，并说明其重要性与理由。</w:t>
      </w:r>
    </w:p>
    <w:p w14:paraId="485CF6BF"/>
    <w:p w14:paraId="7CE89158"/>
    <w:p w14:paraId="2A6AFE0C"/>
    <w:p w14:paraId="13879EA0"/>
    <w:p w14:paraId="1F8B8A81"/>
    <w:p w14:paraId="17D2CBBE"/>
    <w:p w14:paraId="0B42099C"/>
    <w:p w14:paraId="6E05E230"/>
    <w:p w14:paraId="4AB7C175">
      <w:pPr>
        <w:rPr>
          <w:rFonts w:hint="eastAsia"/>
          <w:lang w:val="en-US" w:eastAsia="zh-CN"/>
        </w:rPr>
      </w:pPr>
      <w:r>
        <w:rPr>
          <w:rFonts w:hint="eastAsia"/>
          <w:lang w:val="en-US" w:eastAsia="zh-CN"/>
        </w:rPr>
        <w:t>问题分析</w:t>
      </w:r>
    </w:p>
    <w:p w14:paraId="7E9563DC">
      <w:pPr>
        <w:rPr>
          <w:rFonts w:hint="eastAsia"/>
          <w:lang w:val="en-US" w:eastAsia="zh-CN"/>
        </w:rPr>
      </w:pPr>
      <w:r>
        <w:rPr>
          <w:rFonts w:hint="eastAsia"/>
          <w:lang w:val="en-US" w:eastAsia="zh-CN"/>
        </w:rPr>
        <w:t>问题一的分析</w:t>
      </w:r>
    </w:p>
    <w:p w14:paraId="20C65204">
      <w:pPr>
        <w:pStyle w:val="6"/>
        <w:keepNext w:val="0"/>
        <w:keepLines w:val="0"/>
        <w:widowControl/>
        <w:suppressLineNumbers w:val="0"/>
      </w:pPr>
      <w:r>
        <w:t>针对问题一</w:t>
      </w:r>
      <w:r>
        <w:rPr>
          <w:rFonts w:hint="eastAsia"/>
          <w:lang w:val="en-US" w:eastAsia="zh-CN"/>
        </w:rPr>
        <w:t>第一小问，</w:t>
      </w:r>
      <w:r>
        <w:t>首先，对原始数据进行预处理。合并附件1与附件2，将单品与其所属品类进行匹配，并对数据进行清洗，剔除无效或异常条目。接着，以“日”为单位，分别对6个蔬菜品类及所有单品的销售量进行聚合统计，形成后续分析所需的时间序列数据集。</w:t>
      </w:r>
    </w:p>
    <w:p w14:paraId="3D451C26">
      <w:pPr>
        <w:pStyle w:val="6"/>
        <w:keepNext w:val="0"/>
        <w:keepLines w:val="0"/>
        <w:widowControl/>
        <w:suppressLineNumbers w:val="0"/>
        <w:rPr>
          <w:rFonts w:hint="default" w:eastAsiaTheme="minorEastAsia"/>
          <w:lang w:val="en-US" w:eastAsia="zh-CN"/>
        </w:rPr>
      </w:pPr>
      <w:r>
        <w:t>其次，</w:t>
      </w:r>
      <w:r>
        <w:rPr>
          <w:rFonts w:hint="eastAsia"/>
          <w:lang w:val="en-US" w:eastAsia="zh-CN"/>
        </w:rPr>
        <w:t>对于品类和代表单品，</w:t>
      </w:r>
      <w:r>
        <w:t xml:space="preserve"> </w:t>
      </w:r>
      <w:r>
        <w:rPr>
          <w:rFonts w:hint="eastAsia"/>
          <w:lang w:val="en-US" w:eastAsia="zh-CN"/>
        </w:rPr>
        <w:t>通过</w:t>
      </w:r>
      <w:r>
        <w:t>描述性统计分析</w:t>
      </w:r>
      <w:r>
        <w:rPr>
          <w:rFonts w:hint="eastAsia"/>
          <w:lang w:val="en-US" w:eastAsia="zh-CN"/>
        </w:rPr>
        <w:t>和</w:t>
      </w:r>
      <w:r>
        <w:t>数据可视化</w:t>
      </w:r>
      <w:r>
        <w:rPr>
          <w:rFonts w:hint="eastAsia"/>
          <w:lang w:eastAsia="zh-CN"/>
        </w:rPr>
        <w:t>，</w:t>
      </w:r>
      <w:r>
        <w:rPr>
          <w:rFonts w:hint="eastAsia"/>
          <w:lang w:val="en-US" w:eastAsia="zh-CN"/>
        </w:rPr>
        <w:t>对于统计结果进行定性分析，把握</w:t>
      </w:r>
      <w:r>
        <w:rPr>
          <w:rFonts w:ascii="宋体" w:hAnsi="宋体" w:eastAsia="宋体" w:cs="宋体"/>
          <w:sz w:val="24"/>
          <w:szCs w:val="24"/>
        </w:rPr>
        <w:t>数据的集中趋势、离散程度和</w:t>
      </w:r>
      <w:r>
        <w:t>分布形状特征。</w:t>
      </w:r>
      <w:r>
        <w:rPr>
          <w:rFonts w:hint="eastAsia"/>
          <w:lang w:val="en-US" w:eastAsia="zh-CN"/>
        </w:rPr>
        <w:t>最后通过</w:t>
      </w:r>
      <w:r>
        <w:rPr>
          <w:rFonts w:ascii="宋体" w:hAnsi="宋体" w:eastAsia="宋体" w:cs="宋体"/>
          <w:sz w:val="24"/>
          <w:szCs w:val="24"/>
        </w:rPr>
        <w:t>自相关性分析</w:t>
      </w:r>
      <w:r>
        <w:rPr>
          <w:rFonts w:hint="eastAsia" w:ascii="宋体" w:hAnsi="宋体" w:eastAsia="宋体" w:cs="宋体"/>
          <w:sz w:val="24"/>
          <w:szCs w:val="24"/>
          <w:lang w:eastAsia="zh-CN"/>
        </w:rPr>
        <w:t>，</w:t>
      </w:r>
      <w:r>
        <w:rPr>
          <w:rFonts w:ascii="宋体" w:hAnsi="宋体" w:eastAsia="宋体" w:cs="宋体"/>
          <w:sz w:val="24"/>
          <w:szCs w:val="24"/>
        </w:rPr>
        <w:t>从统计学角度对前文观察到的周期性规律进行定量验证</w:t>
      </w:r>
      <w:r>
        <w:t xml:space="preserve"> </w:t>
      </w:r>
      <w:r>
        <w:rPr>
          <w:rFonts w:hint="eastAsia"/>
          <w:lang w:val="en-US" w:eastAsia="zh-CN"/>
        </w:rPr>
        <w:t>。</w:t>
      </w:r>
    </w:p>
    <w:p w14:paraId="13197309">
      <w:pPr>
        <w:pStyle w:val="6"/>
        <w:keepNext w:val="0"/>
        <w:keepLines w:val="0"/>
        <w:widowControl/>
        <w:suppressLineNumbers w:val="0"/>
        <w:rPr>
          <w:rFonts w:hint="default" w:eastAsiaTheme="minorEastAsia"/>
          <w:lang w:val="en-US" w:eastAsia="zh-CN"/>
        </w:rPr>
      </w:pPr>
      <w:r>
        <w:rPr>
          <w:rFonts w:hint="eastAsia"/>
          <w:lang w:val="en-US" w:eastAsia="zh-CN"/>
        </w:rPr>
        <w:t>第二小问</w:t>
      </w:r>
      <w:r>
        <w:t xml:space="preserve">对不同品类及单品间的相互关系进行深入挖掘。 </w:t>
      </w:r>
      <w:r>
        <w:rPr>
          <w:rFonts w:hint="eastAsia"/>
          <w:lang w:val="en-US" w:eastAsia="zh-CN"/>
        </w:rPr>
        <w:t>首先</w:t>
      </w:r>
      <w:r>
        <w:t>，</w:t>
      </w:r>
      <w:r>
        <w:rPr>
          <w:rFonts w:ascii="宋体" w:hAnsi="宋体" w:eastAsia="宋体" w:cs="宋体"/>
          <w:sz w:val="24"/>
          <w:szCs w:val="24"/>
        </w:rPr>
        <w:t>销售高峰之间可能存在的非线性单调关系，我们选择计算各品类及单品日销售量之间的Spearman等级相关系数</w:t>
      </w:r>
      <w:r>
        <w:t>，</w:t>
      </w:r>
      <w:r>
        <w:rPr>
          <w:rFonts w:ascii="宋体" w:hAnsi="宋体" w:eastAsia="宋体" w:cs="宋体"/>
          <w:sz w:val="24"/>
          <w:szCs w:val="24"/>
        </w:rPr>
        <w:t>稳健地度量商品间的关联性</w:t>
      </w:r>
      <w:r>
        <w:t>。随后，利用热力图对该</w:t>
      </w:r>
      <w:r>
        <w:rPr>
          <w:rFonts w:hint="eastAsia"/>
          <w:lang w:val="en-US" w:eastAsia="zh-CN"/>
        </w:rPr>
        <w:t>品类</w:t>
      </w:r>
      <w:r>
        <w:t>矩阵进行可视化，直观地识别出</w:t>
      </w:r>
      <w:r>
        <w:rPr>
          <w:rFonts w:hint="eastAsia"/>
          <w:lang w:val="en-US" w:eastAsia="zh-CN"/>
        </w:rPr>
        <w:t>品类的相关性</w:t>
      </w:r>
      <w:r>
        <w:t>。</w:t>
      </w:r>
      <w:r>
        <w:rPr>
          <w:rFonts w:hint="eastAsia"/>
          <w:lang w:val="en-US" w:eastAsia="zh-CN"/>
        </w:rPr>
        <w:t>最后，计算单品中相关性最高的几个单品。</w:t>
      </w:r>
    </w:p>
    <w:p w14:paraId="282B3A9B">
      <w:pPr>
        <w:pStyle w:val="6"/>
        <w:keepNext w:val="0"/>
        <w:keepLines w:val="0"/>
        <w:widowControl/>
        <w:suppressLineNumbers w:val="0"/>
        <w:rPr>
          <w:rFonts w:hint="eastAsia" w:eastAsiaTheme="minorEastAsia"/>
          <w:lang w:eastAsia="zh-CN"/>
        </w:rPr>
      </w:pPr>
      <w:r>
        <w:rPr>
          <w:rFonts w:hint="eastAsia" w:eastAsiaTheme="minorEastAsia"/>
          <w:lang w:eastAsia="zh-CN"/>
        </w:rPr>
        <w:t>二、 模型变量定义</w:t>
      </w:r>
    </w:p>
    <w:p w14:paraId="47DC84D0">
      <w:pPr>
        <w:pStyle w:val="6"/>
        <w:keepNext w:val="0"/>
        <w:keepLines w:val="0"/>
        <w:widowControl/>
        <w:suppressLineNumbers w:val="0"/>
        <w:rPr>
          <w:rFonts w:hint="eastAsia" w:eastAsiaTheme="minorEastAsia"/>
          <w:lang w:eastAsia="zh-CN"/>
        </w:rPr>
      </w:pPr>
      <w:r>
        <w:rPr>
          <w:rFonts w:hint="eastAsia" w:eastAsiaTheme="minorEastAsia"/>
          <w:lang w:eastAsia="zh-CN"/>
        </w:rPr>
        <w:t>为确保模型构建的清晰性与严谨性，本研究中涉及的主要变量定义如下表所示。</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91"/>
        <w:gridCol w:w="2019"/>
        <w:gridCol w:w="909"/>
        <w:gridCol w:w="503"/>
        <w:gridCol w:w="503"/>
        <w:gridCol w:w="2771"/>
      </w:tblGrid>
      <w:tr w14:paraId="67D2940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1E2C26">
            <w:pPr>
              <w:pStyle w:val="6"/>
              <w:keepNext w:val="0"/>
              <w:keepLines w:val="0"/>
              <w:widowControl/>
              <w:suppressLineNumbers w:val="0"/>
              <w:rPr>
                <w:rFonts w:hint="eastAsia" w:eastAsiaTheme="minorEastAsia"/>
                <w:lang w:eastAsia="zh-CN"/>
              </w:rPr>
            </w:pPr>
            <w:r>
              <w:rPr>
                <w:rFonts w:hint="eastAsia" w:eastAsiaTheme="minorEastAsia"/>
                <w:lang w:eastAsia="zh-CN"/>
              </w:rPr>
              <w:t>变量符号</w:t>
            </w:r>
          </w:p>
        </w:tc>
        <w:tc>
          <w:tcPr>
            <w:tcW w:w="0" w:type="auto"/>
            <w:shd w:val="clear"/>
            <w:vAlign w:val="center"/>
          </w:tcPr>
          <w:p w14:paraId="0FACEFE1">
            <w:pPr>
              <w:pStyle w:val="6"/>
              <w:keepNext w:val="0"/>
              <w:keepLines w:val="0"/>
              <w:widowControl/>
              <w:suppressLineNumbers w:val="0"/>
              <w:rPr>
                <w:rFonts w:hint="eastAsia" w:eastAsiaTheme="minorEastAsia"/>
                <w:lang w:eastAsia="zh-CN"/>
              </w:rPr>
            </w:pPr>
            <w:r>
              <w:rPr>
                <w:rFonts w:hint="eastAsia" w:eastAsiaTheme="minorEastAsia"/>
                <w:lang w:eastAsia="zh-CN"/>
              </w:rPr>
              <w:t>变量名称</w:t>
            </w:r>
          </w:p>
        </w:tc>
        <w:tc>
          <w:tcPr>
            <w:tcW w:w="0" w:type="auto"/>
            <w:shd w:val="clear"/>
            <w:vAlign w:val="center"/>
          </w:tcPr>
          <w:p w14:paraId="5B714CB8">
            <w:pPr>
              <w:pStyle w:val="6"/>
              <w:keepNext w:val="0"/>
              <w:keepLines w:val="0"/>
              <w:widowControl/>
              <w:suppressLineNumbers w:val="0"/>
              <w:rPr>
                <w:rFonts w:hint="eastAsia" w:eastAsiaTheme="minorEastAsia"/>
                <w:lang w:eastAsia="zh-CN"/>
              </w:rPr>
            </w:pPr>
            <w:r>
              <w:rPr>
                <w:rFonts w:hint="eastAsia" w:eastAsiaTheme="minorEastAsia"/>
                <w:lang w:eastAsia="zh-CN"/>
              </w:rPr>
              <w:t>变量类型</w:t>
            </w:r>
          </w:p>
        </w:tc>
        <w:tc>
          <w:tcPr>
            <w:tcW w:w="0" w:type="auto"/>
            <w:shd w:val="clear"/>
            <w:vAlign w:val="center"/>
          </w:tcPr>
          <w:p w14:paraId="27DDA351">
            <w:pPr>
              <w:pStyle w:val="6"/>
              <w:keepNext w:val="0"/>
              <w:keepLines w:val="0"/>
              <w:widowControl/>
              <w:suppressLineNumbers w:val="0"/>
              <w:rPr>
                <w:rFonts w:hint="eastAsia" w:eastAsiaTheme="minorEastAsia"/>
                <w:lang w:eastAsia="zh-CN"/>
              </w:rPr>
            </w:pPr>
            <w:r>
              <w:rPr>
                <w:rFonts w:hint="eastAsia" w:eastAsiaTheme="minorEastAsia"/>
                <w:lang w:eastAsia="zh-CN"/>
              </w:rPr>
              <w:t>单位</w:t>
            </w:r>
          </w:p>
        </w:tc>
        <w:tc>
          <w:tcPr>
            <w:tcW w:w="473" w:type="dxa"/>
            <w:shd w:val="clear"/>
            <w:vAlign w:val="center"/>
          </w:tcPr>
          <w:p w14:paraId="3B23A703">
            <w:pPr>
              <w:pStyle w:val="6"/>
              <w:keepNext w:val="0"/>
              <w:keepLines w:val="0"/>
              <w:widowControl/>
              <w:suppressLineNumbers w:val="0"/>
              <w:rPr>
                <w:rFonts w:hint="eastAsia" w:eastAsiaTheme="minorEastAsia"/>
                <w:lang w:eastAsia="zh-CN"/>
              </w:rPr>
            </w:pPr>
            <w:r>
              <w:rPr>
                <w:rFonts w:hint="eastAsia" w:eastAsiaTheme="minorEastAsia"/>
                <w:lang w:eastAsia="zh-CN"/>
              </w:rPr>
              <w:t>属性</w:t>
            </w:r>
          </w:p>
        </w:tc>
        <w:tc>
          <w:tcPr>
            <w:tcW w:w="2726" w:type="dxa"/>
            <w:shd w:val="clear"/>
            <w:vAlign w:val="center"/>
          </w:tcPr>
          <w:p w14:paraId="135B2EC7">
            <w:pPr>
              <w:pStyle w:val="6"/>
              <w:keepNext w:val="0"/>
              <w:keepLines w:val="0"/>
              <w:widowControl/>
              <w:suppressLineNumbers w:val="0"/>
              <w:rPr>
                <w:rFonts w:hint="eastAsia" w:eastAsiaTheme="minorEastAsia"/>
                <w:lang w:eastAsia="zh-CN"/>
              </w:rPr>
            </w:pPr>
            <w:r>
              <w:rPr>
                <w:rFonts w:hint="eastAsia" w:eastAsiaTheme="minorEastAsia"/>
                <w:lang w:eastAsia="zh-CN"/>
              </w:rPr>
              <w:t>变量范围/约束</w:t>
            </w:r>
          </w:p>
        </w:tc>
      </w:tr>
      <w:tr w14:paraId="2F1492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F406DAE">
            <w:pPr>
              <w:pStyle w:val="6"/>
              <w:keepNext w:val="0"/>
              <w:keepLines w:val="0"/>
              <w:widowControl/>
              <w:suppressLineNumbers w:val="0"/>
              <w:rPr>
                <w:rFonts w:hint="eastAsia" w:eastAsiaTheme="minorEastAsia"/>
                <w:lang w:eastAsia="zh-CN"/>
              </w:rPr>
            </w:pPr>
            <w:r>
              <w:rPr>
                <w:rFonts w:hint="eastAsia" w:eastAsiaTheme="minorEastAsia"/>
                <w:lang w:eastAsia="zh-CN"/>
              </w:rPr>
              <w:t>t</w:t>
            </w:r>
          </w:p>
        </w:tc>
        <w:tc>
          <w:tcPr>
            <w:tcW w:w="0" w:type="auto"/>
            <w:shd w:val="clear"/>
            <w:vAlign w:val="center"/>
          </w:tcPr>
          <w:p w14:paraId="7D2EA488">
            <w:pPr>
              <w:pStyle w:val="6"/>
              <w:keepNext w:val="0"/>
              <w:keepLines w:val="0"/>
              <w:widowControl/>
              <w:suppressLineNumbers w:val="0"/>
              <w:rPr>
                <w:rFonts w:hint="eastAsia" w:eastAsiaTheme="minorEastAsia"/>
                <w:lang w:eastAsia="zh-CN"/>
              </w:rPr>
            </w:pPr>
            <w:r>
              <w:rPr>
                <w:rFonts w:hint="eastAsia" w:eastAsiaTheme="minorEastAsia"/>
                <w:lang w:eastAsia="zh-CN"/>
              </w:rPr>
              <w:t>时间</w:t>
            </w:r>
          </w:p>
        </w:tc>
        <w:tc>
          <w:tcPr>
            <w:tcW w:w="0" w:type="auto"/>
            <w:shd w:val="clear"/>
            <w:vAlign w:val="center"/>
          </w:tcPr>
          <w:p w14:paraId="07420A10">
            <w:pPr>
              <w:pStyle w:val="6"/>
              <w:keepNext w:val="0"/>
              <w:keepLines w:val="0"/>
              <w:widowControl/>
              <w:suppressLineNumbers w:val="0"/>
              <w:rPr>
                <w:rFonts w:hint="eastAsia" w:eastAsiaTheme="minorEastAsia"/>
                <w:lang w:eastAsia="zh-CN"/>
              </w:rPr>
            </w:pPr>
            <w:r>
              <w:rPr>
                <w:rFonts w:hint="eastAsia" w:eastAsiaTheme="minorEastAsia"/>
                <w:lang w:eastAsia="zh-CN"/>
              </w:rPr>
              <w:t>自变量</w:t>
            </w:r>
          </w:p>
        </w:tc>
        <w:tc>
          <w:tcPr>
            <w:tcW w:w="0" w:type="auto"/>
            <w:shd w:val="clear"/>
            <w:vAlign w:val="center"/>
          </w:tcPr>
          <w:p w14:paraId="09340697">
            <w:pPr>
              <w:pStyle w:val="6"/>
              <w:keepNext w:val="0"/>
              <w:keepLines w:val="0"/>
              <w:widowControl/>
              <w:suppressLineNumbers w:val="0"/>
              <w:rPr>
                <w:rFonts w:hint="eastAsia" w:eastAsiaTheme="minorEastAsia"/>
                <w:lang w:eastAsia="zh-CN"/>
              </w:rPr>
            </w:pPr>
            <w:r>
              <w:rPr>
                <w:rFonts w:hint="eastAsia" w:eastAsiaTheme="minorEastAsia"/>
                <w:lang w:eastAsia="zh-CN"/>
              </w:rPr>
              <w:t>日</w:t>
            </w:r>
          </w:p>
        </w:tc>
        <w:tc>
          <w:tcPr>
            <w:tcW w:w="473" w:type="dxa"/>
            <w:shd w:val="clear"/>
            <w:vAlign w:val="center"/>
          </w:tcPr>
          <w:p w14:paraId="136DE3A9">
            <w:pPr>
              <w:pStyle w:val="6"/>
              <w:keepNext w:val="0"/>
              <w:keepLines w:val="0"/>
              <w:widowControl/>
              <w:suppressLineNumbers w:val="0"/>
              <w:rPr>
                <w:rFonts w:hint="eastAsia" w:eastAsiaTheme="minorEastAsia"/>
                <w:lang w:eastAsia="zh-CN"/>
              </w:rPr>
            </w:pPr>
            <w:r>
              <w:rPr>
                <w:rFonts w:hint="eastAsia" w:eastAsiaTheme="minorEastAsia"/>
                <w:lang w:eastAsia="zh-CN"/>
              </w:rPr>
              <w:t>离散</w:t>
            </w:r>
          </w:p>
        </w:tc>
        <w:tc>
          <w:tcPr>
            <w:tcW w:w="2726" w:type="dxa"/>
            <w:shd w:val="clear"/>
            <w:vAlign w:val="center"/>
          </w:tcPr>
          <w:p w14:paraId="0B580377">
            <w:pPr>
              <w:pStyle w:val="6"/>
              <w:keepNext w:val="0"/>
              <w:keepLines w:val="0"/>
              <w:widowControl/>
              <w:suppressLineNumbers w:val="0"/>
              <w:rPr>
                <w:rFonts w:hint="eastAsia" w:eastAsiaTheme="minorEastAsia"/>
                <w:lang w:eastAsia="zh-CN"/>
              </w:rPr>
            </w:pPr>
            <w:r>
              <w:rPr>
                <w:rFonts w:hint="eastAsia" w:eastAsiaTheme="minorEastAsia"/>
                <w:lang w:eastAsia="zh-CN"/>
              </w:rPr>
              <w:t>2020-07-01 至 2023-06-30</w:t>
            </w:r>
          </w:p>
        </w:tc>
      </w:tr>
      <w:tr w14:paraId="10DA6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17B0367">
            <w:pPr>
              <w:pStyle w:val="6"/>
              <w:keepNext w:val="0"/>
              <w:keepLines w:val="0"/>
              <w:widowControl/>
              <w:suppressLineNumbers w:val="0"/>
              <w:rPr>
                <w:rFonts w:hint="eastAsia" w:eastAsiaTheme="minorEastAsia"/>
                <w:lang w:eastAsia="zh-CN"/>
              </w:rPr>
            </w:pPr>
            <w:r>
              <w:rPr>
                <w:rFonts w:hint="eastAsia" w:eastAsiaTheme="minorEastAsia"/>
                <w:lang w:eastAsia="zh-CN"/>
              </w:rPr>
              <w:t>i</w:t>
            </w:r>
          </w:p>
        </w:tc>
        <w:tc>
          <w:tcPr>
            <w:tcW w:w="0" w:type="auto"/>
            <w:shd w:val="clear"/>
            <w:vAlign w:val="center"/>
          </w:tcPr>
          <w:p w14:paraId="0C224D94">
            <w:pPr>
              <w:pStyle w:val="6"/>
              <w:keepNext w:val="0"/>
              <w:keepLines w:val="0"/>
              <w:widowControl/>
              <w:suppressLineNumbers w:val="0"/>
              <w:rPr>
                <w:rFonts w:hint="eastAsia" w:eastAsiaTheme="minorEastAsia"/>
                <w:lang w:eastAsia="zh-CN"/>
              </w:rPr>
            </w:pPr>
            <w:r>
              <w:rPr>
                <w:rFonts w:hint="eastAsia" w:eastAsiaTheme="minorEastAsia"/>
                <w:lang w:eastAsia="zh-CN"/>
              </w:rPr>
              <w:t>品类索引</w:t>
            </w:r>
          </w:p>
        </w:tc>
        <w:tc>
          <w:tcPr>
            <w:tcW w:w="0" w:type="auto"/>
            <w:shd w:val="clear"/>
            <w:vAlign w:val="center"/>
          </w:tcPr>
          <w:p w14:paraId="34952BD8">
            <w:pPr>
              <w:pStyle w:val="6"/>
              <w:keepNext w:val="0"/>
              <w:keepLines w:val="0"/>
              <w:widowControl/>
              <w:suppressLineNumbers w:val="0"/>
              <w:rPr>
                <w:rFonts w:hint="eastAsia" w:eastAsiaTheme="minorEastAsia"/>
                <w:lang w:eastAsia="zh-CN"/>
              </w:rPr>
            </w:pPr>
            <w:r>
              <w:rPr>
                <w:rFonts w:hint="eastAsia" w:eastAsiaTheme="minorEastAsia"/>
                <w:lang w:eastAsia="zh-CN"/>
              </w:rPr>
              <w:t>自变量</w:t>
            </w:r>
          </w:p>
        </w:tc>
        <w:tc>
          <w:tcPr>
            <w:tcW w:w="0" w:type="auto"/>
            <w:shd w:val="clear"/>
            <w:vAlign w:val="center"/>
          </w:tcPr>
          <w:p w14:paraId="3605579E">
            <w:pPr>
              <w:pStyle w:val="6"/>
              <w:keepNext w:val="0"/>
              <w:keepLines w:val="0"/>
              <w:widowControl/>
              <w:suppressLineNumbers w:val="0"/>
              <w:rPr>
                <w:rFonts w:hint="eastAsia" w:eastAsiaTheme="minorEastAsia"/>
                <w:lang w:eastAsia="zh-CN"/>
              </w:rPr>
            </w:pPr>
            <w:r>
              <w:rPr>
                <w:rFonts w:hint="eastAsia" w:eastAsiaTheme="minorEastAsia"/>
                <w:lang w:eastAsia="zh-CN"/>
              </w:rPr>
              <w:t>-</w:t>
            </w:r>
          </w:p>
        </w:tc>
        <w:tc>
          <w:tcPr>
            <w:tcW w:w="473" w:type="dxa"/>
            <w:shd w:val="clear"/>
            <w:vAlign w:val="center"/>
          </w:tcPr>
          <w:p w14:paraId="4B91FCDA">
            <w:pPr>
              <w:pStyle w:val="6"/>
              <w:keepNext w:val="0"/>
              <w:keepLines w:val="0"/>
              <w:widowControl/>
              <w:suppressLineNumbers w:val="0"/>
              <w:rPr>
                <w:rFonts w:hint="eastAsia" w:eastAsiaTheme="minorEastAsia"/>
                <w:lang w:eastAsia="zh-CN"/>
              </w:rPr>
            </w:pPr>
            <w:r>
              <w:rPr>
                <w:rFonts w:hint="eastAsia" w:eastAsiaTheme="minorEastAsia"/>
                <w:lang w:eastAsia="zh-CN"/>
              </w:rPr>
              <w:t>离散</w:t>
            </w:r>
          </w:p>
        </w:tc>
        <w:tc>
          <w:tcPr>
            <w:tcW w:w="2726" w:type="dxa"/>
            <w:shd w:val="clear"/>
            <w:vAlign w:val="center"/>
          </w:tcPr>
          <w:p w14:paraId="113F2BE9">
            <w:pPr>
              <w:pStyle w:val="6"/>
              <w:keepNext w:val="0"/>
              <w:keepLines w:val="0"/>
              <w:widowControl/>
              <w:suppressLineNumbers w:val="0"/>
              <w:rPr>
                <w:rFonts w:hint="eastAsia" w:eastAsiaTheme="minorEastAsia"/>
                <w:lang w:eastAsia="zh-CN"/>
              </w:rPr>
            </w:pPr>
            <w:r>
              <w:rPr>
                <w:rFonts w:hint="eastAsia" w:eastAsiaTheme="minorEastAsia"/>
                <w:lang w:eastAsia="zh-CN"/>
              </w:rPr>
              <w:t>i ∈ {1, 2, ..., 6}</w:t>
            </w:r>
          </w:p>
        </w:tc>
      </w:tr>
      <w:tr w14:paraId="5F956C2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20BF1A">
            <w:pPr>
              <w:pStyle w:val="6"/>
              <w:keepNext w:val="0"/>
              <w:keepLines w:val="0"/>
              <w:widowControl/>
              <w:suppressLineNumbers w:val="0"/>
              <w:rPr>
                <w:rFonts w:hint="eastAsia" w:eastAsiaTheme="minorEastAsia"/>
                <w:lang w:eastAsia="zh-CN"/>
              </w:rPr>
            </w:pPr>
            <w:r>
              <w:rPr>
                <w:rFonts w:hint="eastAsia" w:eastAsiaTheme="minorEastAsia"/>
                <w:lang w:eastAsia="zh-CN"/>
              </w:rPr>
              <w:t>j</w:t>
            </w:r>
          </w:p>
        </w:tc>
        <w:tc>
          <w:tcPr>
            <w:tcW w:w="0" w:type="auto"/>
            <w:shd w:val="clear"/>
            <w:vAlign w:val="center"/>
          </w:tcPr>
          <w:p w14:paraId="2FBFE39D">
            <w:pPr>
              <w:pStyle w:val="6"/>
              <w:keepNext w:val="0"/>
              <w:keepLines w:val="0"/>
              <w:widowControl/>
              <w:suppressLineNumbers w:val="0"/>
              <w:rPr>
                <w:rFonts w:hint="eastAsia" w:eastAsiaTheme="minorEastAsia"/>
                <w:lang w:eastAsia="zh-CN"/>
              </w:rPr>
            </w:pPr>
            <w:r>
              <w:rPr>
                <w:rFonts w:hint="eastAsia" w:eastAsiaTheme="minorEastAsia"/>
                <w:lang w:eastAsia="zh-CN"/>
              </w:rPr>
              <w:t>单品索引</w:t>
            </w:r>
          </w:p>
        </w:tc>
        <w:tc>
          <w:tcPr>
            <w:tcW w:w="0" w:type="auto"/>
            <w:shd w:val="clear"/>
            <w:vAlign w:val="center"/>
          </w:tcPr>
          <w:p w14:paraId="1A7AFEC1">
            <w:pPr>
              <w:pStyle w:val="6"/>
              <w:keepNext w:val="0"/>
              <w:keepLines w:val="0"/>
              <w:widowControl/>
              <w:suppressLineNumbers w:val="0"/>
              <w:rPr>
                <w:rFonts w:hint="eastAsia" w:eastAsiaTheme="minorEastAsia"/>
                <w:lang w:eastAsia="zh-CN"/>
              </w:rPr>
            </w:pPr>
            <w:r>
              <w:rPr>
                <w:rFonts w:hint="eastAsia" w:eastAsiaTheme="minorEastAsia"/>
                <w:lang w:eastAsia="zh-CN"/>
              </w:rPr>
              <w:t>自变量</w:t>
            </w:r>
          </w:p>
        </w:tc>
        <w:tc>
          <w:tcPr>
            <w:tcW w:w="0" w:type="auto"/>
            <w:shd w:val="clear"/>
            <w:vAlign w:val="center"/>
          </w:tcPr>
          <w:p w14:paraId="54E894BF">
            <w:pPr>
              <w:pStyle w:val="6"/>
              <w:keepNext w:val="0"/>
              <w:keepLines w:val="0"/>
              <w:widowControl/>
              <w:suppressLineNumbers w:val="0"/>
              <w:rPr>
                <w:rFonts w:hint="eastAsia" w:eastAsiaTheme="minorEastAsia"/>
                <w:lang w:eastAsia="zh-CN"/>
              </w:rPr>
            </w:pPr>
            <w:r>
              <w:rPr>
                <w:rFonts w:hint="eastAsia" w:eastAsiaTheme="minorEastAsia"/>
                <w:lang w:eastAsia="zh-CN"/>
              </w:rPr>
              <w:t>-</w:t>
            </w:r>
          </w:p>
        </w:tc>
        <w:tc>
          <w:tcPr>
            <w:tcW w:w="473" w:type="dxa"/>
            <w:shd w:val="clear"/>
            <w:vAlign w:val="center"/>
          </w:tcPr>
          <w:p w14:paraId="5A044997">
            <w:pPr>
              <w:pStyle w:val="6"/>
              <w:keepNext w:val="0"/>
              <w:keepLines w:val="0"/>
              <w:widowControl/>
              <w:suppressLineNumbers w:val="0"/>
              <w:rPr>
                <w:rFonts w:hint="eastAsia" w:eastAsiaTheme="minorEastAsia"/>
                <w:lang w:eastAsia="zh-CN"/>
              </w:rPr>
            </w:pPr>
            <w:r>
              <w:rPr>
                <w:rFonts w:hint="eastAsia" w:eastAsiaTheme="minorEastAsia"/>
                <w:lang w:eastAsia="zh-CN"/>
              </w:rPr>
              <w:t>离散</w:t>
            </w:r>
          </w:p>
        </w:tc>
        <w:tc>
          <w:tcPr>
            <w:tcW w:w="2726" w:type="dxa"/>
            <w:shd w:val="clear"/>
            <w:vAlign w:val="center"/>
          </w:tcPr>
          <w:p w14:paraId="599996AF">
            <w:pPr>
              <w:pStyle w:val="6"/>
              <w:keepNext w:val="0"/>
              <w:keepLines w:val="0"/>
              <w:widowControl/>
              <w:suppressLineNumbers w:val="0"/>
              <w:rPr>
                <w:rFonts w:hint="eastAsia" w:eastAsiaTheme="minorEastAsia"/>
                <w:lang w:eastAsia="zh-CN"/>
              </w:rPr>
            </w:pPr>
            <w:r>
              <w:rPr>
                <w:rFonts w:hint="eastAsia" w:eastAsiaTheme="minorEastAsia"/>
                <w:lang w:eastAsia="zh-CN"/>
              </w:rPr>
              <w:t>j ∈ {1, 2, ..., 151}</w:t>
            </w:r>
          </w:p>
        </w:tc>
      </w:tr>
      <w:tr w14:paraId="115F521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4E099E">
            <w:pPr>
              <w:pStyle w:val="6"/>
              <w:keepNext w:val="0"/>
              <w:keepLines w:val="0"/>
              <w:widowControl/>
              <w:suppressLineNumbers w:val="0"/>
              <w:rPr>
                <w:rFonts w:hint="eastAsia" w:eastAsiaTheme="minorEastAsia"/>
                <w:lang w:eastAsia="zh-CN"/>
              </w:rPr>
            </w:pPr>
            <w:r>
              <w:rPr>
                <w:rFonts w:hint="eastAsia" w:eastAsiaTheme="minorEastAsia"/>
                <w:lang w:eastAsia="zh-CN"/>
              </w:rPr>
              <w:t>S&lt;sub&gt;i,t&lt;/sub&gt;</w:t>
            </w:r>
          </w:p>
        </w:tc>
        <w:tc>
          <w:tcPr>
            <w:tcW w:w="0" w:type="auto"/>
            <w:shd w:val="clear"/>
            <w:vAlign w:val="center"/>
          </w:tcPr>
          <w:p w14:paraId="62D0CBC2">
            <w:pPr>
              <w:pStyle w:val="6"/>
              <w:keepNext w:val="0"/>
              <w:keepLines w:val="0"/>
              <w:widowControl/>
              <w:suppressLineNumbers w:val="0"/>
              <w:rPr>
                <w:rFonts w:hint="eastAsia" w:eastAsiaTheme="minorEastAsia"/>
                <w:lang w:eastAsia="zh-CN"/>
              </w:rPr>
            </w:pPr>
            <w:r>
              <w:rPr>
                <w:rFonts w:hint="eastAsia" w:eastAsiaTheme="minorEastAsia"/>
                <w:lang w:eastAsia="zh-CN"/>
              </w:rPr>
              <w:t>品类i在t日的销量</w:t>
            </w:r>
          </w:p>
        </w:tc>
        <w:tc>
          <w:tcPr>
            <w:tcW w:w="0" w:type="auto"/>
            <w:shd w:val="clear"/>
            <w:vAlign w:val="center"/>
          </w:tcPr>
          <w:p w14:paraId="59964E13">
            <w:pPr>
              <w:pStyle w:val="6"/>
              <w:keepNext w:val="0"/>
              <w:keepLines w:val="0"/>
              <w:widowControl/>
              <w:suppressLineNumbers w:val="0"/>
              <w:rPr>
                <w:rFonts w:hint="eastAsia" w:eastAsiaTheme="minorEastAsia"/>
                <w:lang w:eastAsia="zh-CN"/>
              </w:rPr>
            </w:pPr>
            <w:r>
              <w:rPr>
                <w:rFonts w:hint="eastAsia" w:eastAsiaTheme="minorEastAsia"/>
                <w:lang w:eastAsia="zh-CN"/>
              </w:rPr>
              <w:t>因变量</w:t>
            </w:r>
          </w:p>
        </w:tc>
        <w:tc>
          <w:tcPr>
            <w:tcW w:w="0" w:type="auto"/>
            <w:shd w:val="clear"/>
            <w:vAlign w:val="center"/>
          </w:tcPr>
          <w:p w14:paraId="097291EC">
            <w:pPr>
              <w:pStyle w:val="6"/>
              <w:keepNext w:val="0"/>
              <w:keepLines w:val="0"/>
              <w:widowControl/>
              <w:suppressLineNumbers w:val="0"/>
              <w:rPr>
                <w:rFonts w:hint="eastAsia" w:eastAsiaTheme="minorEastAsia"/>
                <w:lang w:eastAsia="zh-CN"/>
              </w:rPr>
            </w:pPr>
            <w:r>
              <w:rPr>
                <w:rFonts w:hint="eastAsia" w:eastAsiaTheme="minorEastAsia"/>
                <w:lang w:eastAsia="zh-CN"/>
              </w:rPr>
              <w:t>千克</w:t>
            </w:r>
          </w:p>
        </w:tc>
        <w:tc>
          <w:tcPr>
            <w:tcW w:w="473" w:type="dxa"/>
            <w:shd w:val="clear"/>
            <w:vAlign w:val="center"/>
          </w:tcPr>
          <w:p w14:paraId="6CA3E54C">
            <w:pPr>
              <w:pStyle w:val="6"/>
              <w:keepNext w:val="0"/>
              <w:keepLines w:val="0"/>
              <w:widowControl/>
              <w:suppressLineNumbers w:val="0"/>
              <w:rPr>
                <w:rFonts w:hint="eastAsia" w:eastAsiaTheme="minorEastAsia"/>
                <w:lang w:eastAsia="zh-CN"/>
              </w:rPr>
            </w:pPr>
            <w:r>
              <w:rPr>
                <w:rFonts w:hint="eastAsia" w:eastAsiaTheme="minorEastAsia"/>
                <w:lang w:eastAsia="zh-CN"/>
              </w:rPr>
              <w:t>连续</w:t>
            </w:r>
          </w:p>
        </w:tc>
        <w:tc>
          <w:tcPr>
            <w:tcW w:w="2726" w:type="dxa"/>
            <w:shd w:val="clear"/>
            <w:vAlign w:val="center"/>
          </w:tcPr>
          <w:p w14:paraId="3F506D0D">
            <w:pPr>
              <w:pStyle w:val="6"/>
              <w:keepNext w:val="0"/>
              <w:keepLines w:val="0"/>
              <w:widowControl/>
              <w:suppressLineNumbers w:val="0"/>
              <w:rPr>
                <w:rFonts w:hint="eastAsia" w:eastAsiaTheme="minorEastAsia"/>
                <w:lang w:eastAsia="zh-CN"/>
              </w:rPr>
            </w:pPr>
            <w:r>
              <w:rPr>
                <w:rFonts w:hint="eastAsia" w:eastAsiaTheme="minorEastAsia"/>
                <w:lang w:eastAsia="zh-CN"/>
              </w:rPr>
              <w:t>S&lt;sub&gt;i,t&lt;/sub&gt; ≥ 0</w:t>
            </w:r>
          </w:p>
        </w:tc>
      </w:tr>
      <w:tr w14:paraId="2E309F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B04016">
            <w:pPr>
              <w:pStyle w:val="6"/>
              <w:keepNext w:val="0"/>
              <w:keepLines w:val="0"/>
              <w:widowControl/>
              <w:suppressLineNumbers w:val="0"/>
              <w:rPr>
                <w:rFonts w:hint="eastAsia" w:eastAsiaTheme="minorEastAsia"/>
                <w:lang w:eastAsia="zh-CN"/>
              </w:rPr>
            </w:pPr>
            <w:r>
              <w:rPr>
                <w:rFonts w:hint="eastAsia" w:eastAsiaTheme="minorEastAsia"/>
                <w:lang w:eastAsia="zh-CN"/>
              </w:rPr>
              <w:t>s&lt;sub&gt;j,t&lt;/sub&gt;</w:t>
            </w:r>
          </w:p>
        </w:tc>
        <w:tc>
          <w:tcPr>
            <w:tcW w:w="0" w:type="auto"/>
            <w:shd w:val="clear"/>
            <w:vAlign w:val="center"/>
          </w:tcPr>
          <w:p w14:paraId="25FEF24F">
            <w:pPr>
              <w:pStyle w:val="6"/>
              <w:keepNext w:val="0"/>
              <w:keepLines w:val="0"/>
              <w:widowControl/>
              <w:suppressLineNumbers w:val="0"/>
              <w:rPr>
                <w:rFonts w:hint="eastAsia" w:eastAsiaTheme="minorEastAsia"/>
                <w:lang w:eastAsia="zh-CN"/>
              </w:rPr>
            </w:pPr>
            <w:r>
              <w:rPr>
                <w:rFonts w:hint="eastAsia" w:eastAsiaTheme="minorEastAsia"/>
                <w:lang w:eastAsia="zh-CN"/>
              </w:rPr>
              <w:t>单品j在t日的销量</w:t>
            </w:r>
          </w:p>
        </w:tc>
        <w:tc>
          <w:tcPr>
            <w:tcW w:w="0" w:type="auto"/>
            <w:shd w:val="clear"/>
            <w:vAlign w:val="center"/>
          </w:tcPr>
          <w:p w14:paraId="5A30E53A">
            <w:pPr>
              <w:pStyle w:val="6"/>
              <w:keepNext w:val="0"/>
              <w:keepLines w:val="0"/>
              <w:widowControl/>
              <w:suppressLineNumbers w:val="0"/>
              <w:rPr>
                <w:rFonts w:hint="eastAsia" w:eastAsiaTheme="minorEastAsia"/>
                <w:lang w:eastAsia="zh-CN"/>
              </w:rPr>
            </w:pPr>
            <w:r>
              <w:rPr>
                <w:rFonts w:hint="eastAsia" w:eastAsiaTheme="minorEastAsia"/>
                <w:lang w:eastAsia="zh-CN"/>
              </w:rPr>
              <w:t>因变量</w:t>
            </w:r>
          </w:p>
        </w:tc>
        <w:tc>
          <w:tcPr>
            <w:tcW w:w="0" w:type="auto"/>
            <w:shd w:val="clear"/>
            <w:vAlign w:val="center"/>
          </w:tcPr>
          <w:p w14:paraId="0A54064B">
            <w:pPr>
              <w:pStyle w:val="6"/>
              <w:keepNext w:val="0"/>
              <w:keepLines w:val="0"/>
              <w:widowControl/>
              <w:suppressLineNumbers w:val="0"/>
              <w:rPr>
                <w:rFonts w:hint="eastAsia" w:eastAsiaTheme="minorEastAsia"/>
                <w:lang w:eastAsia="zh-CN"/>
              </w:rPr>
            </w:pPr>
            <w:r>
              <w:rPr>
                <w:rFonts w:hint="eastAsia" w:eastAsiaTheme="minorEastAsia"/>
                <w:lang w:eastAsia="zh-CN"/>
              </w:rPr>
              <w:t>千克</w:t>
            </w:r>
          </w:p>
        </w:tc>
        <w:tc>
          <w:tcPr>
            <w:tcW w:w="473" w:type="dxa"/>
            <w:shd w:val="clear"/>
            <w:vAlign w:val="center"/>
          </w:tcPr>
          <w:p w14:paraId="5BECABF3">
            <w:pPr>
              <w:pStyle w:val="6"/>
              <w:keepNext w:val="0"/>
              <w:keepLines w:val="0"/>
              <w:widowControl/>
              <w:suppressLineNumbers w:val="0"/>
              <w:rPr>
                <w:rFonts w:hint="eastAsia" w:eastAsiaTheme="minorEastAsia"/>
                <w:lang w:eastAsia="zh-CN"/>
              </w:rPr>
            </w:pPr>
            <w:r>
              <w:rPr>
                <w:rFonts w:hint="eastAsia" w:eastAsiaTheme="minorEastAsia"/>
                <w:lang w:eastAsia="zh-CN"/>
              </w:rPr>
              <w:t>连续</w:t>
            </w:r>
          </w:p>
        </w:tc>
        <w:tc>
          <w:tcPr>
            <w:tcW w:w="2726" w:type="dxa"/>
            <w:shd w:val="clear"/>
            <w:vAlign w:val="center"/>
          </w:tcPr>
          <w:p w14:paraId="1E04A169">
            <w:pPr>
              <w:pStyle w:val="6"/>
              <w:keepNext w:val="0"/>
              <w:keepLines w:val="0"/>
              <w:widowControl/>
              <w:suppressLineNumbers w:val="0"/>
              <w:rPr>
                <w:rFonts w:hint="eastAsia" w:eastAsiaTheme="minorEastAsia"/>
                <w:lang w:eastAsia="zh-CN"/>
              </w:rPr>
            </w:pPr>
            <w:r>
              <w:rPr>
                <w:rFonts w:hint="eastAsia" w:eastAsiaTheme="minorEastAsia"/>
                <w:lang w:eastAsia="zh-CN"/>
              </w:rPr>
              <w:t>s&lt;sub&gt;j,t&lt;/sub&gt; ≥ 0</w:t>
            </w:r>
          </w:p>
        </w:tc>
      </w:tr>
      <w:tr w14:paraId="056C97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38BD4C">
            <w:pPr>
              <w:pStyle w:val="6"/>
              <w:keepNext w:val="0"/>
              <w:keepLines w:val="0"/>
              <w:widowControl/>
              <w:suppressLineNumbers w:val="0"/>
              <w:rPr>
                <w:rFonts w:hint="eastAsia" w:eastAsiaTheme="minorEastAsia"/>
                <w:lang w:eastAsia="zh-CN"/>
              </w:rPr>
            </w:pPr>
            <w:r>
              <w:rPr>
                <w:rFonts w:hint="eastAsia" w:eastAsiaTheme="minorEastAsia"/>
                <w:lang w:eastAsia="zh-CN"/>
              </w:rPr>
              <w:t>ρ&lt;sub&gt;ij&lt;/sub&gt;</w:t>
            </w:r>
          </w:p>
        </w:tc>
        <w:tc>
          <w:tcPr>
            <w:tcW w:w="0" w:type="auto"/>
            <w:shd w:val="clear"/>
            <w:vAlign w:val="center"/>
          </w:tcPr>
          <w:p w14:paraId="7A22EC7B">
            <w:pPr>
              <w:pStyle w:val="6"/>
              <w:keepNext w:val="0"/>
              <w:keepLines w:val="0"/>
              <w:widowControl/>
              <w:suppressLineNumbers w:val="0"/>
              <w:rPr>
                <w:rFonts w:hint="eastAsia" w:eastAsiaTheme="minorEastAsia"/>
                <w:lang w:eastAsia="zh-CN"/>
              </w:rPr>
            </w:pPr>
            <w:r>
              <w:rPr>
                <w:rFonts w:hint="eastAsia" w:eastAsiaTheme="minorEastAsia"/>
                <w:lang w:eastAsia="zh-CN"/>
              </w:rPr>
              <w:t>商品i与j的相关系数</w:t>
            </w:r>
          </w:p>
        </w:tc>
        <w:tc>
          <w:tcPr>
            <w:tcW w:w="0" w:type="auto"/>
            <w:shd w:val="clear"/>
            <w:vAlign w:val="center"/>
          </w:tcPr>
          <w:p w14:paraId="30C60E0E">
            <w:pPr>
              <w:pStyle w:val="6"/>
              <w:keepNext w:val="0"/>
              <w:keepLines w:val="0"/>
              <w:widowControl/>
              <w:suppressLineNumbers w:val="0"/>
              <w:rPr>
                <w:rFonts w:hint="eastAsia" w:eastAsiaTheme="minorEastAsia"/>
                <w:lang w:eastAsia="zh-CN"/>
              </w:rPr>
            </w:pPr>
            <w:r>
              <w:rPr>
                <w:rFonts w:hint="eastAsia" w:eastAsiaTheme="minorEastAsia"/>
                <w:lang w:eastAsia="zh-CN"/>
              </w:rPr>
              <w:t>中间变量</w:t>
            </w:r>
          </w:p>
        </w:tc>
        <w:tc>
          <w:tcPr>
            <w:tcW w:w="0" w:type="auto"/>
            <w:shd w:val="clear"/>
            <w:vAlign w:val="center"/>
          </w:tcPr>
          <w:p w14:paraId="2463FFEC">
            <w:pPr>
              <w:pStyle w:val="6"/>
              <w:keepNext w:val="0"/>
              <w:keepLines w:val="0"/>
              <w:widowControl/>
              <w:suppressLineNumbers w:val="0"/>
              <w:rPr>
                <w:rFonts w:hint="eastAsia" w:eastAsiaTheme="minorEastAsia"/>
                <w:lang w:eastAsia="zh-CN"/>
              </w:rPr>
            </w:pPr>
            <w:r>
              <w:rPr>
                <w:rFonts w:hint="eastAsia" w:eastAsiaTheme="minorEastAsia"/>
                <w:lang w:eastAsia="zh-CN"/>
              </w:rPr>
              <w:t>-</w:t>
            </w:r>
          </w:p>
        </w:tc>
        <w:tc>
          <w:tcPr>
            <w:tcW w:w="473" w:type="dxa"/>
            <w:shd w:val="clear"/>
            <w:vAlign w:val="center"/>
          </w:tcPr>
          <w:p w14:paraId="6C9F90D8">
            <w:pPr>
              <w:pStyle w:val="6"/>
              <w:keepNext w:val="0"/>
              <w:keepLines w:val="0"/>
              <w:widowControl/>
              <w:suppressLineNumbers w:val="0"/>
              <w:rPr>
                <w:rFonts w:hint="eastAsia" w:eastAsiaTheme="minorEastAsia"/>
                <w:lang w:eastAsia="zh-CN"/>
              </w:rPr>
            </w:pPr>
            <w:r>
              <w:rPr>
                <w:rFonts w:hint="eastAsia" w:eastAsiaTheme="minorEastAsia"/>
                <w:lang w:eastAsia="zh-CN"/>
              </w:rPr>
              <w:t>连续</w:t>
            </w:r>
          </w:p>
        </w:tc>
        <w:tc>
          <w:tcPr>
            <w:tcW w:w="2726" w:type="dxa"/>
            <w:shd w:val="clear"/>
            <w:vAlign w:val="center"/>
          </w:tcPr>
          <w:p w14:paraId="1F0C23D8">
            <w:pPr>
              <w:pStyle w:val="6"/>
              <w:keepNext w:val="0"/>
              <w:keepLines w:val="0"/>
              <w:widowControl/>
              <w:suppressLineNumbers w:val="0"/>
              <w:rPr>
                <w:rFonts w:hint="eastAsia" w:eastAsiaTheme="minorEastAsia"/>
                <w:lang w:eastAsia="zh-CN"/>
              </w:rPr>
            </w:pPr>
            <w:r>
              <w:rPr>
                <w:rFonts w:hint="eastAsia" w:eastAsiaTheme="minorEastAsia"/>
                <w:lang w:eastAsia="zh-CN"/>
              </w:rPr>
              <w:t>-1 ≤ ρ&lt;sub&gt;ij&lt;/sub&gt; ≤ 1</w:t>
            </w:r>
          </w:p>
        </w:tc>
      </w:tr>
    </w:tbl>
    <w:p w14:paraId="41B1E298">
      <w:pPr>
        <w:pStyle w:val="6"/>
        <w:keepNext w:val="0"/>
        <w:keepLines w:val="0"/>
        <w:widowControl/>
        <w:suppressLineNumbers w:val="0"/>
        <w:rPr>
          <w:rFonts w:hint="eastAsia" w:eastAsiaTheme="minorEastAsia"/>
          <w:lang w:eastAsia="zh-CN"/>
        </w:rPr>
      </w:pPr>
      <w:bookmarkStart w:id="0" w:name="_GoBack"/>
      <w:bookmarkEnd w:id="0"/>
    </w:p>
    <w:p w14:paraId="780DA06D">
      <w:pPr>
        <w:rPr>
          <w:rFonts w:hint="default"/>
          <w:lang w:val="en-US" w:eastAsia="zh-CN"/>
        </w:rPr>
      </w:pPr>
      <w:r>
        <w:rPr>
          <w:rFonts w:hint="default"/>
          <w:lang w:val="en-US" w:eastAsia="zh-CN"/>
        </w:rPr>
        <w:t>三、 模型基本假设</w:t>
      </w:r>
    </w:p>
    <w:p w14:paraId="41E14043">
      <w:pPr>
        <w:rPr>
          <w:rFonts w:hint="default"/>
          <w:lang w:val="en-US" w:eastAsia="zh-CN"/>
        </w:rPr>
      </w:pPr>
      <w:r>
        <w:rPr>
          <w:rFonts w:hint="default"/>
          <w:lang w:val="en-US" w:eastAsia="zh-CN"/>
        </w:rPr>
        <w:t>为在有限的数据和条件下构建可解的数学模型，我们提出以下基本假设，这些假设旨在简化问题的同时保留其核心特征。</w:t>
      </w:r>
    </w:p>
    <w:p w14:paraId="2A0F3B78">
      <w:pPr>
        <w:rPr>
          <w:rFonts w:hint="default"/>
          <w:lang w:val="en-US" w:eastAsia="zh-CN"/>
        </w:rPr>
      </w:pPr>
    </w:p>
    <w:p w14:paraId="5F35B9C4">
      <w:pPr>
        <w:rPr>
          <w:rFonts w:hint="default"/>
          <w:lang w:val="en-US" w:eastAsia="zh-CN"/>
        </w:rPr>
      </w:pPr>
      <w:r>
        <w:rPr>
          <w:rFonts w:hint="default"/>
          <w:lang w:val="en-US" w:eastAsia="zh-CN"/>
        </w:rPr>
        <w:t>历史数据代表性假设：我们假设所提供的2020年7月至2023年6月的销售数据是准确的，并且其中蕴含的消费模式（如周期性、季节性）在未来短期内（如2023年7月）依然有效。</w:t>
      </w:r>
    </w:p>
    <w:p w14:paraId="1864FA62">
      <w:pPr>
        <w:rPr>
          <w:rFonts w:hint="default"/>
          <w:lang w:val="en-US" w:eastAsia="zh-CN"/>
        </w:rPr>
      </w:pPr>
    </w:p>
    <w:p w14:paraId="15EBC3DB">
      <w:pPr>
        <w:rPr>
          <w:rFonts w:hint="default"/>
          <w:lang w:val="en-US" w:eastAsia="zh-CN"/>
        </w:rPr>
      </w:pPr>
      <w:r>
        <w:rPr>
          <w:rFonts w:hint="default"/>
          <w:lang w:val="en-US" w:eastAsia="zh-CN"/>
        </w:rPr>
        <w:t>合理性：这是所有基于历史数据进行分析和预测的基础。消费者的基本购物习惯和季节性偏好在短期内通常不会发生剧烈改变。</w:t>
      </w:r>
    </w:p>
    <w:p w14:paraId="5CDA05EF">
      <w:pPr>
        <w:rPr>
          <w:rFonts w:hint="default"/>
          <w:lang w:val="en-US" w:eastAsia="zh-CN"/>
        </w:rPr>
      </w:pPr>
    </w:p>
    <w:p w14:paraId="5B0D2B54">
      <w:pPr>
        <w:rPr>
          <w:rFonts w:hint="default"/>
          <w:lang w:val="en-US" w:eastAsia="zh-CN"/>
        </w:rPr>
      </w:pPr>
      <w:r>
        <w:rPr>
          <w:rFonts w:hint="default"/>
          <w:lang w:val="en-US" w:eastAsia="zh-CN"/>
        </w:rPr>
        <w:t>数据处理合理性假设：我们假设采用0值填充缺失的日销售记录，以及使用IQR方法剔除的极端值属于非典型性波动，处理后的数据更能反映常态化的销售规律。</w:t>
      </w:r>
    </w:p>
    <w:p w14:paraId="7FF952A7">
      <w:pPr>
        <w:rPr>
          <w:rFonts w:hint="default"/>
          <w:lang w:val="en-US" w:eastAsia="zh-CN"/>
        </w:rPr>
      </w:pPr>
    </w:p>
    <w:p w14:paraId="011D3F1C">
      <w:pPr>
        <w:rPr>
          <w:rFonts w:hint="default"/>
          <w:lang w:val="en-US" w:eastAsia="zh-CN"/>
        </w:rPr>
      </w:pPr>
      <w:r>
        <w:rPr>
          <w:rFonts w:hint="default"/>
          <w:lang w:val="en-US" w:eastAsia="zh-CN"/>
        </w:rPr>
        <w:t>合理性：0值填充符合“当日无销售”的业务逻辑。剔除极端异常值是为了防止个别数据点对整体规律分析造成过度影响，从而使模型更能捕捉到普遍性特征。</w:t>
      </w:r>
    </w:p>
    <w:p w14:paraId="3032242B">
      <w:pPr>
        <w:rPr>
          <w:rFonts w:hint="default"/>
          <w:lang w:val="en-US" w:eastAsia="zh-CN"/>
        </w:rPr>
      </w:pPr>
    </w:p>
    <w:p w14:paraId="7F79EADF">
      <w:pPr>
        <w:rPr>
          <w:rFonts w:hint="default"/>
          <w:lang w:val="en-US" w:eastAsia="zh-CN"/>
        </w:rPr>
      </w:pPr>
    </w:p>
    <w:p w14:paraId="73690422">
      <w:pPr>
        <w:rPr>
          <w:rFonts w:hint="default"/>
          <w:lang w:val="en-US" w:eastAsia="zh-CN"/>
        </w:rPr>
      </w:pPr>
    </w:p>
    <w:p w14:paraId="753A8954">
      <w:pPr>
        <w:rPr>
          <w:rFonts w:hint="default"/>
          <w:lang w:val="en-US" w:eastAsia="zh-CN"/>
        </w:rPr>
      </w:pPr>
    </w:p>
    <w:p w14:paraId="7359D609">
      <w:pPr>
        <w:rPr>
          <w:rFonts w:hint="default"/>
          <w:lang w:val="en-US" w:eastAsia="zh-CN"/>
        </w:rPr>
      </w:pPr>
    </w:p>
    <w:p w14:paraId="5B933761">
      <w:pPr>
        <w:pStyle w:val="4"/>
        <w:keepNext w:val="0"/>
        <w:keepLines w:val="0"/>
        <w:widowControl/>
        <w:suppressLineNumbers w:val="0"/>
        <w:rPr>
          <w:rFonts w:ascii="黑体" w:hAnsi="宋体" w:eastAsia="黑体" w:cs="黑体"/>
          <w:b w:val="0"/>
          <w:bCs w:val="0"/>
          <w:color w:val="000000"/>
          <w:sz w:val="30"/>
          <w:szCs w:val="30"/>
        </w:rPr>
      </w:pPr>
      <w:r>
        <w:rPr>
          <w:rFonts w:ascii="黑体" w:hAnsi="宋体" w:eastAsia="黑体" w:cs="黑体"/>
          <w:b w:val="0"/>
          <w:bCs w:val="0"/>
          <w:color w:val="000000"/>
          <w:sz w:val="30"/>
          <w:szCs w:val="30"/>
        </w:rPr>
        <w:t>问题一模型的建立与求解</w:t>
      </w:r>
    </w:p>
    <w:p w14:paraId="0EF1D940">
      <w:pPr>
        <w:pStyle w:val="4"/>
        <w:keepNext w:val="0"/>
        <w:keepLines w:val="0"/>
        <w:widowControl/>
        <w:suppressLineNumbers w:val="0"/>
      </w:pPr>
      <w:r>
        <w:t xml:space="preserve"> 数据整合与格式规范化</w:t>
      </w:r>
    </w:p>
    <w:p w14:paraId="37ACD69E">
      <w:pPr>
        <w:pStyle w:val="6"/>
        <w:keepNext w:val="0"/>
        <w:keepLines w:val="0"/>
        <w:widowControl/>
        <w:suppressLineNumbers w:val="0"/>
      </w:pPr>
      <w:r>
        <w:t>首先，我们对原始数据进行了整合与规范化。读取附件1（商品信息）与附件2（销售流水明细），以“单品编码”作为唯一键，将两个数据表进行合并，为每一条销售记录补充其对应的“分类名称”等维度信息，形成一个完整的数据集。</w:t>
      </w:r>
    </w:p>
    <w:p w14:paraId="00DAC5C4">
      <w:pPr>
        <w:pStyle w:val="6"/>
        <w:keepNext w:val="0"/>
        <w:keepLines w:val="0"/>
        <w:widowControl/>
        <w:suppressLineNumbers w:val="0"/>
      </w:pPr>
      <w:r>
        <w:t>随后，对关键字段进行格式转换。将“销售日期”列由文本格式统一转换为标准的日期时间（datetime）格式，这是后续进行任何时间序列分析的基础。同时，对数据集中存在的缺失值和明显错误数据进行处理，对于数值型字段的缺失，我们采用0值填充，这在零售场景下符合“当日无销售记录”的业务逻辑；对于销量或价格为负数等明显不合逻辑的条目，则予以直接剔除，以保证数据的真实性。</w:t>
      </w:r>
    </w:p>
    <w:p w14:paraId="32885296">
      <w:pPr>
        <w:pStyle w:val="4"/>
        <w:keepNext w:val="0"/>
        <w:keepLines w:val="0"/>
        <w:widowControl/>
        <w:suppressLineNumbers w:val="0"/>
      </w:pPr>
      <w:r>
        <w:t xml:space="preserve"> 数据聚合与特征提取</w:t>
      </w:r>
    </w:p>
    <w:p w14:paraId="0096EA50">
      <w:pPr>
        <w:pStyle w:val="6"/>
        <w:keepNext w:val="0"/>
        <w:keepLines w:val="0"/>
        <w:widowControl/>
        <w:suppressLineNumbers w:val="0"/>
      </w:pPr>
      <w:r>
        <w:t>在数据清洗的基础上，为满足后续不同粒度模型的分析需求，我们对数据进行了聚合处理。以“销售日期”和“分类名称”为分组依据，计算出每个品类在每一天的销售总量，形成品类日销售数据集。同理，以“销售日期”和“单品名称”为分组，计算出每个单品在每一天的销售总量，形成单品日销售数据集。这两个聚合后的数据集将作为后续分析的核心。</w:t>
      </w:r>
    </w:p>
    <w:p w14:paraId="57CE82B8">
      <w:pPr>
        <w:pStyle w:val="4"/>
        <w:keepNext w:val="0"/>
        <w:keepLines w:val="0"/>
        <w:widowControl/>
        <w:suppressLineNumbers w:val="0"/>
      </w:pPr>
      <w:r>
        <w:t xml:space="preserve"> 异常值识别与处理</w:t>
      </w:r>
    </w:p>
    <w:p w14:paraId="097EF71E">
      <w:pPr>
        <w:pStyle w:val="6"/>
        <w:keepNext w:val="0"/>
        <w:keepLines w:val="0"/>
        <w:widowControl/>
        <w:suppressLineNumbers w:val="0"/>
      </w:pPr>
      <w:r>
        <w:t>考虑到蔬菜销售数据易受促销、节假日等因素影响而产生极端值，为避免这些异常值对模型训练造成不成比例的影响，我们对其进行了识别与处理。</w:t>
      </w:r>
    </w:p>
    <w:p w14:paraId="65465009">
      <w:pPr>
        <w:pStyle w:val="6"/>
        <w:keepNext w:val="0"/>
        <w:keepLines w:val="0"/>
        <w:widowControl/>
        <w:suppressLineNumbers w:val="0"/>
      </w:pPr>
      <w:r>
        <w:t>我们采用箱型图（Box Plot）结合IQR（Interquartile Range）方法来识别异常值。该方法对数据分布没有特定要求，对于通常呈现偏态分布的销售数据而言，比传统的Z分数法更为稳健。我们选取了销量最高的品类“花叶类”及该品类下销量最高的单品“云南生菜”作为代表进行分析。如图X所示的箱型图清晰地展示了其销售数据的分布情况，其中远离箱体上下边缘的孤立点被识别为潜在异常值。</w:t>
      </w:r>
    </w:p>
    <w:p w14:paraId="29BC5FD8">
      <w:pPr>
        <w:pStyle w:val="6"/>
        <w:keepNext w:val="0"/>
        <w:keepLines w:val="0"/>
        <w:widowControl/>
        <w:suppressLineNumbers w:val="0"/>
        <w:rPr>
          <w:rFonts w:hint="eastAsia" w:eastAsiaTheme="minorEastAsia"/>
          <w:lang w:eastAsia="zh-CN"/>
        </w:rPr>
      </w:pPr>
      <w:r>
        <w:rPr>
          <w:rFonts w:hint="eastAsia" w:eastAsiaTheme="minorEastAsia"/>
          <w:lang w:eastAsia="zh-CN"/>
        </w:rPr>
        <w:drawing>
          <wp:inline distT="0" distB="0" distL="114300" distR="114300">
            <wp:extent cx="5266690" cy="3160395"/>
            <wp:effectExtent l="0" t="0" r="3810" b="1905"/>
            <wp:docPr id="1" name="图片 1" descr="花叶类_before_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花叶类_before_boxplot"/>
                    <pic:cNvPicPr>
                      <a:picLocks noChangeAspect="1"/>
                    </pic:cNvPicPr>
                  </pic:nvPicPr>
                  <pic:blipFill>
                    <a:blip r:embed="rId4"/>
                    <a:stretch>
                      <a:fillRect/>
                    </a:stretch>
                  </pic:blipFill>
                  <pic:spPr>
                    <a:xfrm>
                      <a:off x="0" y="0"/>
                      <a:ext cx="5266690" cy="3160395"/>
                    </a:xfrm>
                    <a:prstGeom prst="rect">
                      <a:avLst/>
                    </a:prstGeom>
                  </pic:spPr>
                </pic:pic>
              </a:graphicData>
            </a:graphic>
          </wp:inline>
        </w:drawing>
      </w:r>
    </w:p>
    <w:p w14:paraId="64E3A47F">
      <w:pPr>
        <w:pStyle w:val="6"/>
        <w:keepNext w:val="0"/>
        <w:keepLines w:val="0"/>
        <w:widowControl/>
        <w:suppressLineNumbers w:val="0"/>
        <w:rPr>
          <w:rFonts w:hint="eastAsia" w:eastAsiaTheme="minorEastAsia"/>
          <w:lang w:eastAsia="zh-CN"/>
        </w:rPr>
      </w:pPr>
      <w:r>
        <w:t>花叶类与云南生菜销量箱型图</w:t>
      </w:r>
      <w:r>
        <w:rPr>
          <w:rFonts w:hint="eastAsia" w:eastAsiaTheme="minorEastAsia"/>
          <w:lang w:eastAsia="zh-CN"/>
        </w:rPr>
        <w:drawing>
          <wp:inline distT="0" distB="0" distL="114300" distR="114300">
            <wp:extent cx="5266690" cy="3160395"/>
            <wp:effectExtent l="0" t="0" r="3810" b="1905"/>
            <wp:docPr id="3" name="图片 3" descr="云南生菜_before_box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云南生菜_before_boxplot"/>
                    <pic:cNvPicPr>
                      <a:picLocks noChangeAspect="1"/>
                    </pic:cNvPicPr>
                  </pic:nvPicPr>
                  <pic:blipFill>
                    <a:blip r:embed="rId5"/>
                    <a:stretch>
                      <a:fillRect/>
                    </a:stretch>
                  </pic:blipFill>
                  <pic:spPr>
                    <a:xfrm>
                      <a:off x="0" y="0"/>
                      <a:ext cx="5266690" cy="3160395"/>
                    </a:xfrm>
                    <a:prstGeom prst="rect">
                      <a:avLst/>
                    </a:prstGeom>
                  </pic:spPr>
                </pic:pic>
              </a:graphicData>
            </a:graphic>
          </wp:inline>
        </w:drawing>
      </w:r>
    </w:p>
    <w:p w14:paraId="63E731F9">
      <w:pPr>
        <w:pStyle w:val="6"/>
        <w:keepNext w:val="0"/>
        <w:keepLines w:val="0"/>
        <w:widowControl/>
        <w:suppressLineNumbers w:val="0"/>
      </w:pPr>
      <w:r>
        <w:t>基于IQR的计算结果，我们对数据集中所有超出 [Q1 - 1.5*IQR, Q3 + 1.5*IQR] 范围的数据点进行了剔除处理，以构建一个更稳定、更能反映常规销售模式的数据集用于后续分析。</w:t>
      </w:r>
    </w:p>
    <w:p w14:paraId="6013D800">
      <w:pPr>
        <w:pStyle w:val="4"/>
        <w:keepNext w:val="0"/>
        <w:keepLines w:val="0"/>
        <w:widowControl/>
        <w:suppressLineNumbers w:val="0"/>
      </w:pPr>
      <w:r>
        <w:t xml:space="preserve"> 数据预处理效果验证</w:t>
      </w:r>
    </w:p>
    <w:p w14:paraId="51BC3EA8">
      <w:pPr>
        <w:pStyle w:val="6"/>
        <w:keepNext w:val="0"/>
        <w:keepLines w:val="0"/>
        <w:widowControl/>
        <w:suppressLineNumbers w:val="0"/>
      </w:pPr>
      <w:r>
        <w:t>为直观展示异常值处理对数据平稳性的改善效果，我们绘制了“花叶类”和“云南生菜”在数据预处理前后的周销量时间序列对比图。如图Y所示，经过异常值剔除后，两条销量曲线的极端峰值得到了有效平滑，整体波动性降低，更能体现其内在的周期性与趋势性规律。</w:t>
      </w:r>
    </w:p>
    <w:p w14:paraId="434C79C2">
      <w:pPr>
        <w:pStyle w:val="6"/>
        <w:keepNext w:val="0"/>
        <w:keepLines w:val="0"/>
        <w:widowControl/>
        <w:suppressLineNumbers w:val="0"/>
      </w:pPr>
      <w:r>
        <w:t>数据预处理前后周销量时间序列对比图</w:t>
      </w:r>
    </w:p>
    <w:p w14:paraId="34DB0FF5">
      <w:pPr>
        <w:rPr>
          <w:rFonts w:hint="default"/>
          <w:lang w:val="en-US" w:eastAsia="zh-CN"/>
        </w:rPr>
      </w:pPr>
      <w:r>
        <w:rPr>
          <w:rFonts w:hint="default"/>
          <w:lang w:val="en-US" w:eastAsia="zh-CN"/>
        </w:rPr>
        <w:drawing>
          <wp:inline distT="0" distB="0" distL="114300" distR="114300">
            <wp:extent cx="5266690" cy="2458085"/>
            <wp:effectExtent l="0" t="0" r="3810" b="5715"/>
            <wp:docPr id="4" name="图片 4" descr="云南生菜_weekly_sales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云南生菜_weekly_sales_comparison"/>
                    <pic:cNvPicPr>
                      <a:picLocks noChangeAspect="1"/>
                    </pic:cNvPicPr>
                  </pic:nvPicPr>
                  <pic:blipFill>
                    <a:blip r:embed="rId6"/>
                    <a:stretch>
                      <a:fillRect/>
                    </a:stretch>
                  </pic:blipFill>
                  <pic:spPr>
                    <a:xfrm>
                      <a:off x="0" y="0"/>
                      <a:ext cx="5266690" cy="2458085"/>
                    </a:xfrm>
                    <a:prstGeom prst="rect">
                      <a:avLst/>
                    </a:prstGeom>
                  </pic:spPr>
                </pic:pic>
              </a:graphicData>
            </a:graphic>
          </wp:inline>
        </w:drawing>
      </w:r>
      <w:r>
        <w:rPr>
          <w:rFonts w:hint="default"/>
          <w:lang w:val="en-US" w:eastAsia="zh-CN"/>
        </w:rPr>
        <w:drawing>
          <wp:inline distT="0" distB="0" distL="114300" distR="114300">
            <wp:extent cx="5266690" cy="2458085"/>
            <wp:effectExtent l="0" t="0" r="3810" b="5715"/>
            <wp:docPr id="2" name="图片 2" descr="花叶类_weekly_sales_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花叶类_weekly_sales_comparison"/>
                    <pic:cNvPicPr>
                      <a:picLocks noChangeAspect="1"/>
                    </pic:cNvPicPr>
                  </pic:nvPicPr>
                  <pic:blipFill>
                    <a:blip r:embed="rId7"/>
                    <a:stretch>
                      <a:fillRect/>
                    </a:stretch>
                  </pic:blipFill>
                  <pic:spPr>
                    <a:xfrm>
                      <a:off x="0" y="0"/>
                      <a:ext cx="5266690" cy="2458085"/>
                    </a:xfrm>
                    <a:prstGeom prst="rect">
                      <a:avLst/>
                    </a:prstGeom>
                  </pic:spPr>
                </pic:pic>
              </a:graphicData>
            </a:graphic>
          </wp:inline>
        </w:drawing>
      </w:r>
    </w:p>
    <w:p w14:paraId="754788CD">
      <w:pPr>
        <w:rPr>
          <w:rFonts w:hint="default"/>
          <w:lang w:val="en-US" w:eastAsia="zh-CN"/>
        </w:rPr>
      </w:pPr>
    </w:p>
    <w:p w14:paraId="6F408E9E">
      <w:pPr>
        <w:rPr>
          <w:rFonts w:hint="default"/>
          <w:lang w:val="en-US" w:eastAsia="zh-CN"/>
        </w:rPr>
      </w:pPr>
      <w:r>
        <w:rPr>
          <w:rFonts w:hint="default"/>
          <w:lang w:val="en-US" w:eastAsia="zh-CN"/>
        </w:rPr>
        <w:t>为深入探究蔬菜类商品的销售规律及内在关联，本研究对附件数据进行了系统的探索性数据分析（EDA）。我们首先在品类和单品两个层级上，对销售数据的时间序列特性和季节性模式进行了深入剖-析。</w:t>
      </w:r>
    </w:p>
    <w:p w14:paraId="3102412F">
      <w:pPr>
        <w:rPr>
          <w:rFonts w:hint="default"/>
          <w:lang w:val="en-US" w:eastAsia="zh-CN"/>
        </w:rPr>
      </w:pPr>
      <w:r>
        <w:rPr>
          <w:rFonts w:hint="default"/>
          <w:lang w:val="en-US" w:eastAsia="zh-CN"/>
        </w:rPr>
        <w:t>4.1 蔬菜品类销售规律分析</w:t>
      </w:r>
    </w:p>
    <w:p w14:paraId="24B23CEB">
      <w:pPr>
        <w:rPr>
          <w:rFonts w:hint="default"/>
          <w:lang w:val="en-US" w:eastAsia="zh-CN"/>
        </w:rPr>
      </w:pPr>
      <w:r>
        <w:rPr>
          <w:rFonts w:hint="default"/>
          <w:lang w:val="en-US" w:eastAsia="zh-CN"/>
        </w:rPr>
        <w:t>4.1.1 品类销售总体趋势与波动性</w:t>
      </w:r>
    </w:p>
    <w:p w14:paraId="59675F3E">
      <w:pPr>
        <w:pStyle w:val="6"/>
        <w:keepNext w:val="0"/>
        <w:keepLines w:val="0"/>
        <w:widowControl/>
        <w:suppressLineNumbers w:val="0"/>
      </w:pPr>
      <w:r>
        <w:t>为把握各品类的市场地位，我们首先对其日销售量进行了宏观审视。如图1所示，各品类的销售体量存在显著差异。“花叶类”蔬菜作为核心品类，其日销售量远高于其他品类，构成了该商超蔬菜销售的基本盘。</w:t>
      </w:r>
    </w:p>
    <w:p w14:paraId="06A2CE41">
      <w:pPr>
        <w:pStyle w:val="6"/>
        <w:keepNext w:val="0"/>
        <w:keepLines w:val="0"/>
        <w:widowControl/>
        <w:suppressLineNumbers w:val="0"/>
      </w:pPr>
      <w:r>
        <w:t>从时间维度上看，所有品类的销售均表现出明显的周期性波动和随机扰动，但未观察到持续性的增长或下降趋势，表明在过去三年内，蔬菜销售市场整体处于一个相对成熟和稳定的状态。其中，“花叶类”和“辣椒类”的销量波动尤为剧烈，时常出现销售尖峰。这种显著的波动性表明，简单的均值模型不足以描述销售规律，必须深入探究其背后的周期性驱动因素。</w:t>
      </w:r>
    </w:p>
    <w:p w14:paraId="701B4EA5">
      <w:pPr>
        <w:rPr>
          <w:rFonts w:hint="default"/>
          <w:lang w:val="en-US" w:eastAsia="zh-CN"/>
        </w:rPr>
      </w:pPr>
      <w:r>
        <w:rPr>
          <w:rFonts w:hint="default"/>
          <w:lang w:val="en-US" w:eastAsia="zh-CN"/>
        </w:rPr>
        <w:drawing>
          <wp:inline distT="0" distB="0" distL="114300" distR="114300">
            <wp:extent cx="5267325" cy="2785745"/>
            <wp:effectExtent l="0" t="0" r="3175" b="8255"/>
            <wp:docPr id="5" name="图片 5" descr="分类名称_对比时间序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分类名称_对比时间序列图"/>
                    <pic:cNvPicPr>
                      <a:picLocks noChangeAspect="1"/>
                    </pic:cNvPicPr>
                  </pic:nvPicPr>
                  <pic:blipFill>
                    <a:blip r:embed="rId8"/>
                    <a:stretch>
                      <a:fillRect/>
                    </a:stretch>
                  </pic:blipFill>
                  <pic:spPr>
                    <a:xfrm>
                      <a:off x="0" y="0"/>
                      <a:ext cx="5267325" cy="2785745"/>
                    </a:xfrm>
                    <a:prstGeom prst="rect">
                      <a:avLst/>
                    </a:prstGeom>
                  </pic:spPr>
                </pic:pic>
              </a:graphicData>
            </a:graphic>
          </wp:inline>
        </w:drawing>
      </w:r>
    </w:p>
    <w:p w14:paraId="289BC193">
      <w:pPr>
        <w:rPr>
          <w:rFonts w:hint="default"/>
          <w:lang w:val="en-US" w:eastAsia="zh-CN"/>
        </w:rPr>
      </w:pPr>
    </w:p>
    <w:p w14:paraId="6B7E5502">
      <w:pPr>
        <w:rPr>
          <w:rFonts w:hint="default"/>
          <w:lang w:val="en-US" w:eastAsia="zh-CN"/>
        </w:rPr>
      </w:pPr>
      <w:r>
        <w:rPr>
          <w:rFonts w:hint="default"/>
          <w:lang w:val="en-US" w:eastAsia="zh-CN"/>
        </w:rPr>
        <w:t>图1：所有分类名称销量时间序列对比</w:t>
      </w:r>
    </w:p>
    <w:p w14:paraId="51F02568">
      <w:pPr>
        <w:rPr>
          <w:rFonts w:hint="default"/>
          <w:lang w:val="en-US" w:eastAsia="zh-CN"/>
        </w:rPr>
      </w:pPr>
      <w:r>
        <w:rPr>
          <w:rFonts w:hint="default"/>
          <w:lang w:val="en-US" w:eastAsia="zh-CN"/>
        </w:rPr>
        <w:t>为更清晰地观察各品类的独立销售模式，我们绘制了个体时间序列图（如图2所示）。图中可见，“花叶类”的日均销量最高，达到了182.97千克，但其波动也最为显著。“辣椒类”和“食用菌”的销量同样表现出较强的波动性。相比之下，“茄类”和“花菜类”的日销量则相对较低且更为平稳。</w:t>
      </w:r>
    </w:p>
    <w:p w14:paraId="6E751FC6">
      <w:pPr>
        <w:rPr>
          <w:rFonts w:hint="default"/>
          <w:lang w:val="en-US" w:eastAsia="zh-CN"/>
        </w:rPr>
      </w:pPr>
      <w:r>
        <w:rPr>
          <w:rFonts w:hint="default"/>
          <w:lang w:val="en-US" w:eastAsia="zh-CN"/>
        </w:rPr>
        <w:drawing>
          <wp:inline distT="0" distB="0" distL="114300" distR="114300">
            <wp:extent cx="5271770" cy="2903220"/>
            <wp:effectExtent l="0" t="0" r="11430" b="5080"/>
            <wp:docPr id="7" name="图片 7" descr="分类名称_个体时间序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分类名称_个体时间序列图"/>
                    <pic:cNvPicPr>
                      <a:picLocks noChangeAspect="1"/>
                    </pic:cNvPicPr>
                  </pic:nvPicPr>
                  <pic:blipFill>
                    <a:blip r:embed="rId9"/>
                    <a:stretch>
                      <a:fillRect/>
                    </a:stretch>
                  </pic:blipFill>
                  <pic:spPr>
                    <a:xfrm>
                      <a:off x="0" y="0"/>
                      <a:ext cx="5271770" cy="2903220"/>
                    </a:xfrm>
                    <a:prstGeom prst="rect">
                      <a:avLst/>
                    </a:prstGeom>
                  </pic:spPr>
                </pic:pic>
              </a:graphicData>
            </a:graphic>
          </wp:inline>
        </w:drawing>
      </w:r>
    </w:p>
    <w:p w14:paraId="4AFFD95E">
      <w:pPr>
        <w:rPr>
          <w:rFonts w:hint="default"/>
          <w:lang w:val="en-US" w:eastAsia="zh-CN"/>
        </w:rPr>
      </w:pPr>
      <w:r>
        <w:rPr>
          <w:rFonts w:hint="default"/>
          <w:lang w:val="en-US" w:eastAsia="zh-CN"/>
        </w:rPr>
        <w:t>图2：各分类名称销量时间序列分布</w:t>
      </w:r>
    </w:p>
    <w:p w14:paraId="7AA84740">
      <w:pPr>
        <w:rPr>
          <w:rFonts w:hint="default"/>
          <w:lang w:val="en-US" w:eastAsia="zh-CN"/>
        </w:rPr>
      </w:pPr>
      <w:r>
        <w:rPr>
          <w:rFonts w:hint="default"/>
          <w:lang w:val="en-US" w:eastAsia="zh-CN"/>
        </w:rPr>
        <w:t>4.1.2 品类销售的季节性模式</w:t>
      </w:r>
    </w:p>
    <w:p w14:paraId="31AC2505">
      <w:pPr>
        <w:rPr>
          <w:rFonts w:hint="default"/>
          <w:lang w:val="en-US" w:eastAsia="zh-CN"/>
        </w:rPr>
      </w:pPr>
      <w:r>
        <w:rPr>
          <w:rFonts w:hint="default"/>
          <w:lang w:val="en-US" w:eastAsia="zh-CN"/>
        </w:rPr>
        <w:t>为探究销售波动背后的驱动因素，我们对各品类的月度和周度销售模式进行了分析。如图3所示，季节性规律清晰地浮现出来：</w:t>
      </w:r>
    </w:p>
    <w:p w14:paraId="3F30AA5B">
      <w:pPr>
        <w:rPr>
          <w:rFonts w:hint="default"/>
          <w:lang w:val="en-US" w:eastAsia="zh-CN"/>
        </w:rPr>
      </w:pPr>
    </w:p>
    <w:p w14:paraId="7FAE8413">
      <w:pPr>
        <w:rPr>
          <w:rFonts w:hint="default"/>
          <w:lang w:val="en-US" w:eastAsia="zh-CN"/>
        </w:rPr>
      </w:pPr>
      <w:r>
        <w:rPr>
          <w:rFonts w:hint="default"/>
          <w:lang w:val="en-US" w:eastAsia="zh-CN"/>
        </w:rPr>
        <w:t>月度模式：存在显著的季节性消费偏好。例如，“水生根茎类”和“花菜类”的销售高峰集中在秋冬季节（10月至次年1月），而“辣椒类”则在夏季（6-8月）更受欢迎。“花叶类”作为基础品类，全年销量维持在较高水平，但在春季（3-5月）和秋季（9-11月）达到顶峰。</w:t>
      </w:r>
    </w:p>
    <w:p w14:paraId="0F07B096">
      <w:pPr>
        <w:rPr>
          <w:rFonts w:hint="default"/>
          <w:lang w:val="en-US" w:eastAsia="zh-CN"/>
        </w:rPr>
      </w:pPr>
    </w:p>
    <w:p w14:paraId="63800C1D">
      <w:pPr>
        <w:rPr>
          <w:rFonts w:hint="default"/>
          <w:lang w:val="en-US" w:eastAsia="zh-CN"/>
        </w:rPr>
      </w:pPr>
    </w:p>
    <w:p w14:paraId="3008F1E3">
      <w:pPr>
        <w:rPr>
          <w:rFonts w:hint="default"/>
          <w:lang w:val="en-US" w:eastAsia="zh-CN"/>
        </w:rPr>
      </w:pPr>
      <w:r>
        <w:rPr>
          <w:rFonts w:hint="default"/>
          <w:lang w:val="en-US" w:eastAsia="zh-CN"/>
        </w:rPr>
        <w:t>周度模式：所有品类均表现出高度一致的周内销售节律。销量从周一到周五呈现平稳或小幅增长，并在周五达到峰值，随后在周末（周六、周日）逐步回落。这一“周末效应”清晰地反映了消费者的购物习惯，即倾向于在周末前集中采购生鲜商品。</w:t>
      </w:r>
    </w:p>
    <w:p w14:paraId="76A6CFD5">
      <w:pPr>
        <w:rPr>
          <w:rFonts w:hint="default"/>
          <w:lang w:val="en-US" w:eastAsia="zh-CN"/>
        </w:rPr>
      </w:pPr>
      <w:r>
        <w:rPr>
          <w:rFonts w:hint="default"/>
          <w:lang w:val="en-US" w:eastAsia="zh-CN"/>
        </w:rPr>
        <w:drawing>
          <wp:inline distT="0" distB="0" distL="114300" distR="114300">
            <wp:extent cx="5262245" cy="3938905"/>
            <wp:effectExtent l="0" t="0" r="8255" b="10795"/>
            <wp:docPr id="8" name="图片 8" descr="分类名称_季节性模式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分类名称_季节性模式分析"/>
                    <pic:cNvPicPr>
                      <a:picLocks noChangeAspect="1"/>
                    </pic:cNvPicPr>
                  </pic:nvPicPr>
                  <pic:blipFill>
                    <a:blip r:embed="rId10"/>
                    <a:stretch>
                      <a:fillRect/>
                    </a:stretch>
                  </pic:blipFill>
                  <pic:spPr>
                    <a:xfrm>
                      <a:off x="0" y="0"/>
                      <a:ext cx="5262245" cy="3938905"/>
                    </a:xfrm>
                    <a:prstGeom prst="rect">
                      <a:avLst/>
                    </a:prstGeom>
                  </pic:spPr>
                </pic:pic>
              </a:graphicData>
            </a:graphic>
          </wp:inline>
        </w:drawing>
      </w:r>
    </w:p>
    <w:p w14:paraId="1A49E359">
      <w:pPr>
        <w:rPr>
          <w:rFonts w:hint="default"/>
          <w:lang w:val="en-US" w:eastAsia="zh-CN"/>
        </w:rPr>
      </w:pPr>
    </w:p>
    <w:p w14:paraId="5EE40450">
      <w:pPr>
        <w:rPr>
          <w:rFonts w:hint="default"/>
          <w:lang w:val="en-US" w:eastAsia="zh-CN"/>
        </w:rPr>
      </w:pPr>
    </w:p>
    <w:p w14:paraId="75B23171">
      <w:pPr>
        <w:rPr>
          <w:rFonts w:hint="default"/>
          <w:lang w:val="en-US" w:eastAsia="zh-CN"/>
        </w:rPr>
      </w:pPr>
      <w:r>
        <w:rPr>
          <w:rFonts w:hint="default"/>
          <w:lang w:val="en-US" w:eastAsia="zh-CN"/>
        </w:rPr>
        <w:t>图3：品类销售季节性模式分析</w:t>
      </w:r>
    </w:p>
    <w:p w14:paraId="45E98305">
      <w:pPr>
        <w:rPr>
          <w:rFonts w:hint="default"/>
          <w:lang w:val="en-US" w:eastAsia="zh-CN"/>
        </w:rPr>
      </w:pPr>
      <w:r>
        <w:rPr>
          <w:rFonts w:hint="default"/>
          <w:lang w:val="en-US" w:eastAsia="zh-CN"/>
        </w:rPr>
        <w:t>4.2 代表性单品销售规律分析</w:t>
      </w:r>
    </w:p>
    <w:p w14:paraId="11EE068F">
      <w:pPr>
        <w:rPr>
          <w:rFonts w:hint="default"/>
          <w:lang w:val="en-US" w:eastAsia="zh-CN"/>
        </w:rPr>
      </w:pPr>
      <w:r>
        <w:rPr>
          <w:rFonts w:hint="default"/>
          <w:lang w:val="en-US" w:eastAsia="zh-CN"/>
        </w:rPr>
        <w:t>在品类分析的基础上，我们进一步下钻到单品层面，选取各品类中累计销量排名前列的代表性单品进行深入分析，以验证宏观规律在微观层面的普适性。</w:t>
      </w:r>
    </w:p>
    <w:p w14:paraId="692116E1">
      <w:pPr>
        <w:rPr>
          <w:rFonts w:hint="default"/>
          <w:lang w:val="en-US" w:eastAsia="zh-CN"/>
        </w:rPr>
      </w:pPr>
      <w:r>
        <w:rPr>
          <w:rFonts w:hint="default"/>
          <w:lang w:val="en-US" w:eastAsia="zh-CN"/>
        </w:rPr>
        <w:t>如图4和图5所示，单品的销售规律与品类层面高度一致：大部分核心单品呈现出无长期趋势但具有强周期性的特点，并且其周度模式同样在周五达到顶峰。这一规律在品类和核心单品层面均得到验证，表明“星期几”是一个对所有商品都具有普遍解释力的关键预测特征。</w:t>
      </w:r>
      <w:r>
        <w:rPr>
          <w:rFonts w:hint="default"/>
          <w:lang w:val="en-US" w:eastAsia="zh-CN"/>
        </w:rPr>
        <w:drawing>
          <wp:inline distT="0" distB="0" distL="114300" distR="114300">
            <wp:extent cx="5259070" cy="3246120"/>
            <wp:effectExtent l="0" t="0" r="11430" b="5080"/>
            <wp:docPr id="9" name="图片 9" descr="单品名称_个体时间序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单品名称_个体时间序列图"/>
                    <pic:cNvPicPr>
                      <a:picLocks noChangeAspect="1"/>
                    </pic:cNvPicPr>
                  </pic:nvPicPr>
                  <pic:blipFill>
                    <a:blip r:embed="rId11"/>
                    <a:stretch>
                      <a:fillRect/>
                    </a:stretch>
                  </pic:blipFill>
                  <pic:spPr>
                    <a:xfrm>
                      <a:off x="0" y="0"/>
                      <a:ext cx="5259070" cy="3246120"/>
                    </a:xfrm>
                    <a:prstGeom prst="rect">
                      <a:avLst/>
                    </a:prstGeom>
                  </pic:spPr>
                </pic:pic>
              </a:graphicData>
            </a:graphic>
          </wp:inline>
        </w:drawing>
      </w:r>
    </w:p>
    <w:p w14:paraId="006532FE">
      <w:pPr>
        <w:rPr>
          <w:rFonts w:hint="default"/>
          <w:lang w:val="en-US" w:eastAsia="zh-CN"/>
        </w:rPr>
      </w:pPr>
    </w:p>
    <w:p w14:paraId="03A8361A">
      <w:pPr>
        <w:rPr>
          <w:rFonts w:hint="default"/>
          <w:lang w:val="en-US" w:eastAsia="zh-CN"/>
        </w:rPr>
      </w:pPr>
      <w:r>
        <w:rPr>
          <w:rFonts w:hint="default"/>
          <w:lang w:val="en-US" w:eastAsia="zh-CN"/>
        </w:rPr>
        <w:t>图4：代表性单品个体时间序列分布</w:t>
      </w:r>
    </w:p>
    <w:p w14:paraId="104305F0">
      <w:pPr>
        <w:rPr>
          <w:rFonts w:hint="default"/>
          <w:lang w:val="en-US" w:eastAsia="zh-CN"/>
        </w:rPr>
      </w:pPr>
      <w:r>
        <w:rPr>
          <w:rFonts w:hint="default"/>
          <w:lang w:val="en-US" w:eastAsia="zh-CN"/>
        </w:rPr>
        <w:drawing>
          <wp:inline distT="0" distB="0" distL="114300" distR="114300">
            <wp:extent cx="5264150" cy="3938905"/>
            <wp:effectExtent l="0" t="0" r="6350" b="10795"/>
            <wp:docPr id="10" name="图片 10" descr="单品名称_季节性模式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单品名称_季节性模式分析"/>
                    <pic:cNvPicPr>
                      <a:picLocks noChangeAspect="1"/>
                    </pic:cNvPicPr>
                  </pic:nvPicPr>
                  <pic:blipFill>
                    <a:blip r:embed="rId12"/>
                    <a:stretch>
                      <a:fillRect/>
                    </a:stretch>
                  </pic:blipFill>
                  <pic:spPr>
                    <a:xfrm>
                      <a:off x="0" y="0"/>
                      <a:ext cx="5264150" cy="3938905"/>
                    </a:xfrm>
                    <a:prstGeom prst="rect">
                      <a:avLst/>
                    </a:prstGeom>
                  </pic:spPr>
                </pic:pic>
              </a:graphicData>
            </a:graphic>
          </wp:inline>
        </w:drawing>
      </w:r>
    </w:p>
    <w:p w14:paraId="17F0BD9A">
      <w:pPr>
        <w:rPr>
          <w:rFonts w:hint="default"/>
          <w:lang w:val="en-US" w:eastAsia="zh-CN"/>
        </w:rPr>
      </w:pPr>
      <w:r>
        <w:rPr>
          <w:rFonts w:hint="default"/>
          <w:lang w:val="en-US" w:eastAsia="zh-CN"/>
        </w:rPr>
        <w:t>图5：单品销售季节性模式分析</w:t>
      </w:r>
    </w:p>
    <w:p w14:paraId="04E0C5F1">
      <w:pPr>
        <w:rPr>
          <w:rFonts w:hint="default"/>
          <w:lang w:val="en-US" w:eastAsia="zh-CN"/>
        </w:rPr>
      </w:pPr>
    </w:p>
    <w:p w14:paraId="4EABA1DE">
      <w:pPr>
        <w:pStyle w:val="4"/>
        <w:keepNext w:val="0"/>
        <w:keepLines w:val="0"/>
        <w:widowControl/>
        <w:suppressLineNumbers w:val="0"/>
      </w:pPr>
      <w:r>
        <w:t>4.3 定量验证与建模指导：时间自相关性分析</w:t>
      </w:r>
    </w:p>
    <w:p w14:paraId="6D489A46">
      <w:pPr>
        <w:pStyle w:val="6"/>
        <w:keepNext w:val="0"/>
        <w:keepLines w:val="0"/>
        <w:widowControl/>
        <w:suppressLineNumbers w:val="0"/>
      </w:pPr>
      <w:r>
        <w:t>为从统计学角度对前文的定性观察进行“硬核”验证，并为后续模型选择提供理论依据，我们选取最具代表性的“花叶类”品类与核心单品“云南生菜”进行自相关性分析。</w:t>
      </w:r>
    </w:p>
    <w:p w14:paraId="182BBB22">
      <w:pPr>
        <w:pStyle w:val="5"/>
        <w:keepNext w:val="0"/>
        <w:keepLines w:val="0"/>
        <w:widowControl/>
        <w:suppressLineNumbers w:val="0"/>
      </w:pPr>
      <w:r>
        <w:t>4.3.1 品类层面的自相关性分析（以“花叶类”为例）</w:t>
      </w:r>
    </w:p>
    <w:p w14:paraId="4B4081D5">
      <w:pPr>
        <w:pStyle w:val="6"/>
        <w:keepNext w:val="0"/>
        <w:keepLines w:val="0"/>
        <w:widowControl/>
        <w:suppressLineNumbers w:val="0"/>
        <w:rPr>
          <w:rFonts w:hint="eastAsia" w:eastAsiaTheme="minorEastAsia"/>
          <w:lang w:eastAsia="zh-CN"/>
        </w:rPr>
      </w:pPr>
      <w:r>
        <w:rPr>
          <w:rFonts w:hint="eastAsia" w:eastAsiaTheme="minorEastAsia"/>
          <w:lang w:eastAsia="zh-CN"/>
        </w:rPr>
        <w:drawing>
          <wp:inline distT="0" distB="0" distL="114300" distR="114300">
            <wp:extent cx="5262880" cy="6501130"/>
            <wp:effectExtent l="0" t="0" r="7620" b="1270"/>
            <wp:docPr id="12" name="图片 12" descr="花叶类ACF_PACF综合分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花叶类ACF_PACF综合分析"/>
                    <pic:cNvPicPr>
                      <a:picLocks noChangeAspect="1"/>
                    </pic:cNvPicPr>
                  </pic:nvPicPr>
                  <pic:blipFill>
                    <a:blip r:embed="rId13"/>
                    <a:stretch>
                      <a:fillRect/>
                    </a:stretch>
                  </pic:blipFill>
                  <pic:spPr>
                    <a:xfrm>
                      <a:off x="0" y="0"/>
                      <a:ext cx="5262880" cy="6501130"/>
                    </a:xfrm>
                    <a:prstGeom prst="rect">
                      <a:avLst/>
                    </a:prstGeom>
                  </pic:spPr>
                </pic:pic>
              </a:graphicData>
            </a:graphic>
          </wp:inline>
        </w:drawing>
      </w:r>
    </w:p>
    <w:p w14:paraId="05516F5D">
      <w:pPr>
        <w:pStyle w:val="6"/>
        <w:keepNext w:val="0"/>
        <w:keepLines w:val="0"/>
        <w:widowControl/>
        <w:suppressLineNumbers w:val="0"/>
      </w:pPr>
      <w:r>
        <w:t>!图7：花叶类ACF/PACF综合分析图</w:t>
      </w:r>
    </w:p>
    <w:p w14:paraId="7263928F">
      <w:pPr>
        <w:pStyle w:val="6"/>
        <w:keepNext w:val="0"/>
        <w:keepLines w:val="0"/>
        <w:widowControl/>
        <w:suppressLineNumbers w:val="0"/>
      </w:pPr>
      <w:r>
        <w:t>图7：花叶类ACF/PACF综合分析图</w:t>
      </w:r>
    </w:p>
    <w:p w14:paraId="29A63D0D">
      <w:pPr>
        <w:pStyle w:val="6"/>
        <w:keepNext w:val="0"/>
        <w:keepLines w:val="0"/>
        <w:widowControl/>
        <w:suppressLineNumbers w:val="0"/>
      </w:pPr>
      <w:r>
        <w:t>如图7所示，自相关函数（ACF）图呈现出显著的拖尾和周期性波动，而偏自相关函数（PACF）图则在滞后2阶后迅速“截尾”。ACF的拖尾是序列非平稳的典型标志，而PACF的截尾则强烈暗示了数据中存在自回归（AR）结构。</w:t>
      </w:r>
    </w:p>
    <w:p w14:paraId="0E90E917">
      <w:pPr>
        <w:pStyle w:val="6"/>
        <w:keepNext w:val="0"/>
        <w:keepLines w:val="0"/>
        <w:widowControl/>
        <w:suppressLineNumbers w:val="0"/>
      </w:pPr>
      <w:r>
        <w:t>更重要的是，ACF在滞后7天（ACF=0.5294）和14天（ACF=0.4830）处均有显著的峰值，这为我们观察到的7日销售周期提供了无可辩驳的统计学证据。</w:t>
      </w:r>
    </w:p>
    <w:p w14:paraId="21545F4B"/>
    <w:p w14:paraId="5BFAE924">
      <w:pPr>
        <w:pStyle w:val="5"/>
        <w:keepNext w:val="0"/>
        <w:keepLines w:val="0"/>
        <w:widowControl/>
        <w:suppressLineNumbers w:val="0"/>
      </w:pPr>
      <w:r>
        <w:t>4.3.2 单品层面的自相关性分析（以“云南生菜”为例）</w:t>
      </w:r>
    </w:p>
    <w:p w14:paraId="4DAE8B36">
      <w:pPr>
        <w:pStyle w:val="6"/>
        <w:keepNext w:val="0"/>
        <w:keepLines w:val="0"/>
        <w:widowControl/>
        <w:suppressLineNumbers w:val="0"/>
      </w:pPr>
      <w:r>
        <w:t>对“云南生菜”的分析得到了完全一致的结论：其ACF图同样呈现拖尾，并在滞后7天和14天处显著为正；其PACF图也呈现清晰的2阶截尾特征。</w:t>
      </w:r>
    </w:p>
    <w:p w14:paraId="561BC29D">
      <w:pPr>
        <w:pStyle w:val="6"/>
        <w:keepNext w:val="0"/>
        <w:keepLines w:val="0"/>
        <w:widowControl/>
        <w:suppressLineNumbers w:val="0"/>
      </w:pPr>
      <w:r>
        <w:t>综上所述，通过对品类和代表性单品的双重分析，并结合自相关性检验，我们清晰地刻画出了该商超蔬菜销售的核心规律：整体市场稳定，无长期趋势，但存在由消费者购物习惯驱动的、有统计学显著性的强周度周期（周五高峰），以及由气候和饮食文化驱动的显著季节性周期。同时，数据表现出的强自回归特性，为后续建立ARIMA等时间序列预测模型奠定了坚实的基础。</w:t>
      </w:r>
    </w:p>
    <w:p w14:paraId="7BC398C3">
      <w:pPr>
        <w:rPr>
          <w:rFonts w:hint="default"/>
          <w:lang w:val="en-US" w:eastAsia="zh-CN"/>
        </w:rPr>
      </w:pPr>
    </w:p>
    <w:p w14:paraId="4AD46F6F">
      <w:pPr>
        <w:rPr>
          <w:rFonts w:hint="default"/>
          <w:lang w:val="en-US" w:eastAsia="zh-CN"/>
        </w:rPr>
      </w:pPr>
    </w:p>
    <w:p w14:paraId="6492D4E6">
      <w:pPr>
        <w:rPr>
          <w:rFonts w:hint="default"/>
          <w:lang w:val="en-US" w:eastAsia="zh-CN"/>
        </w:rPr>
      </w:pPr>
      <w:r>
        <w:rPr>
          <w:rFonts w:hint="default"/>
          <w:lang w:val="en-US" w:eastAsia="zh-CN"/>
        </w:rPr>
        <w:t>4.4 销售关联关系的双变量分析（相关性）</w:t>
      </w:r>
    </w:p>
    <w:p w14:paraId="484A6A6C">
      <w:pPr>
        <w:rPr>
          <w:rFonts w:hint="default"/>
          <w:lang w:val="en-US" w:eastAsia="zh-CN"/>
        </w:rPr>
      </w:pPr>
      <w:r>
        <w:rPr>
          <w:rFonts w:hint="default"/>
          <w:lang w:val="en-US" w:eastAsia="zh-CN"/>
        </w:rPr>
        <w:t>在完成了对单个商品时间序列的分析后，我们进一步探究不同商品之间的相互关系。为进行此分析，我们首先将原始的“长格式”销售数据转换为“宽格式”，其中每一行代表一天，每一列代表一个单品或品类，缺失值用0填充。</w:t>
      </w:r>
    </w:p>
    <w:p w14:paraId="124B603C">
      <w:pPr>
        <w:rPr>
          <w:rFonts w:hint="default"/>
          <w:lang w:val="en-US" w:eastAsia="zh-CN"/>
        </w:rPr>
      </w:pPr>
      <w:r>
        <w:rPr>
          <w:rFonts w:hint="default"/>
          <w:lang w:val="en-US" w:eastAsia="zh-CN"/>
        </w:rPr>
        <w:t>考虑到商品销量间的关系未必是线性的，我们选用斯皮尔曼（Spearman）等级相关系数来度量其关联性，该方法能更稳健地捕捉非线性的单调关系。</w:t>
      </w:r>
    </w:p>
    <w:p w14:paraId="47E33E41">
      <w:pPr>
        <w:rPr>
          <w:rFonts w:hint="default"/>
          <w:lang w:val="en-US" w:eastAsia="zh-CN"/>
        </w:rPr>
      </w:pPr>
      <w:r>
        <w:rPr>
          <w:rFonts w:hint="default"/>
          <w:lang w:val="en-US" w:eastAsia="zh-CN"/>
        </w:rPr>
        <w:t>4.4.1 品类间相关性分析</w:t>
      </w:r>
    </w:p>
    <w:p w14:paraId="3DAB0C72">
      <w:pPr>
        <w:rPr>
          <w:rFonts w:hint="default"/>
          <w:lang w:val="en-US" w:eastAsia="zh-CN"/>
        </w:rPr>
      </w:pPr>
      <w:r>
        <w:rPr>
          <w:rFonts w:hint="default"/>
          <w:lang w:val="en-US" w:eastAsia="zh-CN"/>
        </w:rPr>
        <w:t>我们首先计算了6个品类日销售量之间的Spearman相关系数矩阵，并将其可视化为热力图（如图8所示）。</w:t>
      </w:r>
    </w:p>
    <w:p w14:paraId="7575DFB0">
      <w:pPr>
        <w:rPr>
          <w:rFonts w:hint="default"/>
          <w:lang w:val="en-US" w:eastAsia="zh-CN"/>
        </w:rPr>
      </w:pPr>
    </w:p>
    <w:p w14:paraId="09AE6408">
      <w:pPr>
        <w:rPr>
          <w:rFonts w:hint="default"/>
          <w:lang w:val="en-US" w:eastAsia="zh-CN"/>
        </w:rPr>
      </w:pPr>
      <w:r>
        <w:rPr>
          <w:rFonts w:hint="default"/>
          <w:lang w:val="en-US" w:eastAsia="zh-CN"/>
        </w:rPr>
        <w:drawing>
          <wp:inline distT="0" distB="0" distL="114300" distR="114300">
            <wp:extent cx="5267960" cy="4881245"/>
            <wp:effectExtent l="0" t="0" r="2540" b="8255"/>
            <wp:docPr id="6" name="图片 6" descr="专业品类相关性热力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专业品类相关性热力图"/>
                    <pic:cNvPicPr>
                      <a:picLocks noChangeAspect="1"/>
                    </pic:cNvPicPr>
                  </pic:nvPicPr>
                  <pic:blipFill>
                    <a:blip r:embed="rId14"/>
                    <a:stretch>
                      <a:fillRect/>
                    </a:stretch>
                  </pic:blipFill>
                  <pic:spPr>
                    <a:xfrm>
                      <a:off x="0" y="0"/>
                      <a:ext cx="5267960" cy="4881245"/>
                    </a:xfrm>
                    <a:prstGeom prst="rect">
                      <a:avLst/>
                    </a:prstGeom>
                  </pic:spPr>
                </pic:pic>
              </a:graphicData>
            </a:graphic>
          </wp:inline>
        </w:drawing>
      </w:r>
    </w:p>
    <w:p w14:paraId="481E23F6">
      <w:pPr>
        <w:rPr>
          <w:rFonts w:hint="default"/>
          <w:lang w:val="en-US" w:eastAsia="zh-CN"/>
        </w:rPr>
      </w:pPr>
      <w:r>
        <w:rPr>
          <w:rFonts w:hint="default"/>
          <w:lang w:val="en-US" w:eastAsia="zh-CN"/>
        </w:rPr>
        <w:t>!图8：品类销量相关性分析热力图</w:t>
      </w:r>
    </w:p>
    <w:p w14:paraId="121549DA">
      <w:pPr>
        <w:rPr>
          <w:rFonts w:hint="default"/>
          <w:lang w:val="en-US" w:eastAsia="zh-CN"/>
        </w:rPr>
      </w:pPr>
      <w:r>
        <w:rPr>
          <w:rFonts w:hint="default"/>
          <w:lang w:val="en-US" w:eastAsia="zh-CN"/>
        </w:rPr>
        <w:t>从图中可以得出以下洞察：</w:t>
      </w:r>
    </w:p>
    <w:p w14:paraId="4932AF81">
      <w:pPr>
        <w:rPr>
          <w:rFonts w:hint="default"/>
          <w:lang w:val="en-US" w:eastAsia="zh-CN"/>
        </w:rPr>
      </w:pPr>
    </w:p>
    <w:p w14:paraId="3EC3E88A">
      <w:pPr>
        <w:rPr>
          <w:rFonts w:hint="default"/>
          <w:lang w:val="en-US" w:eastAsia="zh-CN"/>
        </w:rPr>
      </w:pPr>
      <w:r>
        <w:rPr>
          <w:rFonts w:hint="default"/>
          <w:lang w:val="en-US" w:eastAsia="zh-CN"/>
        </w:rPr>
        <w:t>普遍的正相关性：绝大多数品类之间呈现正相关关系，表明它们的销量在宏观上存在“同涨同跌”的趋势，这可能受到节假日、周末效应或商超整体客流量等共同因素的驱动。</w:t>
      </w:r>
    </w:p>
    <w:p w14:paraId="28FEFEB5">
      <w:pPr>
        <w:rPr>
          <w:rFonts w:hint="default"/>
          <w:lang w:val="en-US" w:eastAsia="zh-CN"/>
        </w:rPr>
      </w:pPr>
    </w:p>
    <w:p w14:paraId="597ED825">
      <w:pPr>
        <w:rPr>
          <w:rFonts w:hint="default"/>
          <w:lang w:val="en-US" w:eastAsia="zh-CN"/>
        </w:rPr>
      </w:pPr>
    </w:p>
    <w:p w14:paraId="1EAE0C1B">
      <w:pPr>
        <w:rPr>
          <w:rFonts w:hint="default"/>
          <w:lang w:val="en-US" w:eastAsia="zh-CN"/>
        </w:rPr>
      </w:pPr>
      <w:r>
        <w:rPr>
          <w:rFonts w:hint="default"/>
          <w:lang w:val="en-US" w:eastAsia="zh-CN"/>
        </w:rPr>
        <w:t>强关联组合：“食用菌”与“水生根茎类”（0.60）、“花叶类”（0.60）以及“辣椒类”（0.54）之间存在中等强度的正相关。这可能意味着消费者在购买菌菇类食材时，倾向于同时搭配根茎类或叶菜类进行烹饪（如炖汤、火锅等）。</w:t>
      </w:r>
    </w:p>
    <w:p w14:paraId="65581787">
      <w:pPr>
        <w:rPr>
          <w:rFonts w:hint="default"/>
          <w:lang w:val="en-US" w:eastAsia="zh-CN"/>
        </w:rPr>
      </w:pPr>
    </w:p>
    <w:p w14:paraId="4BA1ACEF">
      <w:pPr>
        <w:rPr>
          <w:rFonts w:hint="default"/>
          <w:lang w:val="en-US" w:eastAsia="zh-CN"/>
        </w:rPr>
      </w:pPr>
    </w:p>
    <w:p w14:paraId="6D98BF11">
      <w:pPr>
        <w:rPr>
          <w:rFonts w:hint="default"/>
          <w:lang w:val="en-US" w:eastAsia="zh-CN"/>
        </w:rPr>
      </w:pPr>
      <w:r>
        <w:rPr>
          <w:rFonts w:hint="default"/>
          <w:lang w:val="en-US" w:eastAsia="zh-CN"/>
        </w:rPr>
        <w:t>弱关联/负相关：“水生根茎类”与“茄类”（-0.21）、“食用菌”与“茄类”（-0.11）呈现微弱的负相关，这可能反映了两者在季节性消费或烹饪场景上的差异。</w:t>
      </w:r>
    </w:p>
    <w:p w14:paraId="28E29E1A">
      <w:pPr>
        <w:rPr>
          <w:rFonts w:hint="default"/>
          <w:lang w:val="en-US" w:eastAsia="zh-CN"/>
        </w:rPr>
      </w:pPr>
    </w:p>
    <w:p w14:paraId="344142B2">
      <w:pPr>
        <w:rPr>
          <w:rFonts w:hint="default"/>
          <w:lang w:val="en-US" w:eastAsia="zh-CN"/>
        </w:rPr>
      </w:pPr>
      <w:r>
        <w:rPr>
          <w:rFonts w:hint="default"/>
          <w:lang w:val="en-US" w:eastAsia="zh-CN"/>
        </w:rPr>
        <w:t>4.4.2 单品间强关联关系挖掘</w:t>
      </w:r>
    </w:p>
    <w:p w14:paraId="68DCDF75">
      <w:pPr>
        <w:rPr>
          <w:rFonts w:hint="default"/>
          <w:lang w:val="en-US" w:eastAsia="zh-CN"/>
        </w:rPr>
      </w:pPr>
      <w:r>
        <w:rPr>
          <w:rFonts w:hint="default"/>
          <w:lang w:val="en-US" w:eastAsia="zh-CN"/>
        </w:rPr>
        <w:t>在单品层面，我们对151个单品进行了同样的相关性分析。由于单品数量众多，无法以热力图完整展示，我们筛选出其中相关性最强的商品对（Spearman系数 ≥ 0.7），如下表所示：</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706"/>
        <w:gridCol w:w="1223"/>
        <w:gridCol w:w="5467"/>
      </w:tblGrid>
      <w:tr w14:paraId="5422F0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17BD7E3">
            <w:pPr>
              <w:rPr>
                <w:rFonts w:hint="default"/>
                <w:lang w:val="en-US" w:eastAsia="zh-CN"/>
              </w:rPr>
            </w:pPr>
            <w:r>
              <w:rPr>
                <w:rFonts w:hint="default"/>
                <w:lang w:val="en-US" w:eastAsia="zh-CN"/>
              </w:rPr>
              <w:t>商品对</w:t>
            </w:r>
          </w:p>
        </w:tc>
        <w:tc>
          <w:tcPr>
            <w:tcW w:w="0" w:type="auto"/>
            <w:shd w:val="clear"/>
            <w:vAlign w:val="center"/>
          </w:tcPr>
          <w:p w14:paraId="71501470">
            <w:pPr>
              <w:rPr>
                <w:rFonts w:hint="default"/>
                <w:lang w:val="en-US" w:eastAsia="zh-CN"/>
              </w:rPr>
            </w:pPr>
            <w:r>
              <w:rPr>
                <w:rFonts w:hint="default"/>
                <w:lang w:val="en-US" w:eastAsia="zh-CN"/>
              </w:rPr>
              <w:t>Spearman相关系数</w:t>
            </w:r>
          </w:p>
        </w:tc>
        <w:tc>
          <w:tcPr>
            <w:tcW w:w="0" w:type="auto"/>
            <w:shd w:val="clear"/>
            <w:vAlign w:val="center"/>
          </w:tcPr>
          <w:p w14:paraId="4489304F">
            <w:pPr>
              <w:rPr>
                <w:rFonts w:hint="default"/>
                <w:lang w:val="en-US" w:eastAsia="zh-CN"/>
              </w:rPr>
            </w:pPr>
            <w:r>
              <w:rPr>
                <w:rFonts w:hint="default"/>
                <w:lang w:val="en-US" w:eastAsia="zh-CN"/>
              </w:rPr>
              <w:t>关系解读</w:t>
            </w:r>
          </w:p>
        </w:tc>
      </w:tr>
      <w:tr w14:paraId="492CBF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0889E69">
            <w:pPr>
              <w:rPr>
                <w:rFonts w:hint="default"/>
                <w:lang w:val="en-US" w:eastAsia="zh-CN"/>
              </w:rPr>
            </w:pPr>
            <w:r>
              <w:rPr>
                <w:rFonts w:hint="default"/>
                <w:lang w:val="en-US" w:eastAsia="zh-CN"/>
              </w:rPr>
              <w:t>红橡叶 ↔ 红珊瑚 / 绿牛油</w:t>
            </w:r>
          </w:p>
        </w:tc>
        <w:tc>
          <w:tcPr>
            <w:tcW w:w="0" w:type="auto"/>
            <w:shd w:val="clear"/>
            <w:vAlign w:val="center"/>
          </w:tcPr>
          <w:p w14:paraId="110563BE">
            <w:pPr>
              <w:rPr>
                <w:rFonts w:hint="default"/>
                <w:lang w:val="en-US" w:eastAsia="zh-CN"/>
              </w:rPr>
            </w:pPr>
            <w:r>
              <w:rPr>
                <w:rFonts w:hint="default"/>
                <w:lang w:val="en-US" w:eastAsia="zh-CN"/>
              </w:rPr>
              <w:t>1.000</w:t>
            </w:r>
          </w:p>
        </w:tc>
        <w:tc>
          <w:tcPr>
            <w:tcW w:w="0" w:type="auto"/>
            <w:shd w:val="clear"/>
            <w:vAlign w:val="center"/>
          </w:tcPr>
          <w:p w14:paraId="7F9C8E65">
            <w:pPr>
              <w:rPr>
                <w:rFonts w:hint="default"/>
                <w:lang w:val="en-US" w:eastAsia="zh-CN"/>
              </w:rPr>
            </w:pPr>
            <w:r>
              <w:rPr>
                <w:rFonts w:hint="default"/>
                <w:lang w:val="en-US" w:eastAsia="zh-CN"/>
              </w:rPr>
              <w:t>高度绑定/替代：这三种生菜的相关性为完美正相关，极有可能被打包成“混合生菜”售卖，或是同一类商品的不同变种，消费场景高度重合。</w:t>
            </w:r>
          </w:p>
        </w:tc>
      </w:tr>
      <w:tr w14:paraId="5C5838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13F9FB8">
            <w:pPr>
              <w:rPr>
                <w:rFonts w:hint="default"/>
                <w:lang w:val="en-US" w:eastAsia="zh-CN"/>
              </w:rPr>
            </w:pPr>
            <w:r>
              <w:rPr>
                <w:rFonts w:hint="default"/>
                <w:lang w:val="en-US" w:eastAsia="zh-CN"/>
              </w:rPr>
              <w:t>奶白菜苗 ↔ 菊花油菜</w:t>
            </w:r>
          </w:p>
        </w:tc>
        <w:tc>
          <w:tcPr>
            <w:tcW w:w="0" w:type="auto"/>
            <w:shd w:val="clear"/>
            <w:vAlign w:val="center"/>
          </w:tcPr>
          <w:p w14:paraId="5EB9D854">
            <w:pPr>
              <w:rPr>
                <w:rFonts w:hint="default"/>
                <w:lang w:val="en-US" w:eastAsia="zh-CN"/>
              </w:rPr>
            </w:pPr>
            <w:r>
              <w:rPr>
                <w:rFonts w:hint="default"/>
                <w:lang w:val="en-US" w:eastAsia="zh-CN"/>
              </w:rPr>
              <w:t>0.866</w:t>
            </w:r>
          </w:p>
        </w:tc>
        <w:tc>
          <w:tcPr>
            <w:tcW w:w="0" w:type="auto"/>
            <w:shd w:val="clear"/>
            <w:vAlign w:val="center"/>
          </w:tcPr>
          <w:p w14:paraId="42780868">
            <w:pPr>
              <w:rPr>
                <w:rFonts w:hint="default"/>
                <w:lang w:val="en-US" w:eastAsia="zh-CN"/>
              </w:rPr>
            </w:pPr>
            <w:r>
              <w:rPr>
                <w:rFonts w:hint="default"/>
                <w:lang w:val="en-US" w:eastAsia="zh-CN"/>
              </w:rPr>
              <w:t>品类相似：两者均为幼嫩型的绿叶蔬菜，可能受到同一类偏好清淡口味的消费群体的青睐。</w:t>
            </w:r>
          </w:p>
        </w:tc>
      </w:tr>
      <w:tr w14:paraId="35AD3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129BDB6">
            <w:pPr>
              <w:rPr>
                <w:rFonts w:hint="default"/>
                <w:lang w:val="en-US" w:eastAsia="zh-CN"/>
              </w:rPr>
            </w:pPr>
            <w:r>
              <w:rPr>
                <w:rFonts w:hint="default"/>
                <w:lang w:val="en-US" w:eastAsia="zh-CN"/>
              </w:rPr>
              <w:t>姜蒜小米椒组合装 ↔ 枝江青梗散花 / 小皱皮</w:t>
            </w:r>
          </w:p>
        </w:tc>
        <w:tc>
          <w:tcPr>
            <w:tcW w:w="0" w:type="auto"/>
            <w:shd w:val="clear"/>
            <w:vAlign w:val="center"/>
          </w:tcPr>
          <w:p w14:paraId="41769881">
            <w:pPr>
              <w:rPr>
                <w:rFonts w:hint="default"/>
                <w:lang w:val="en-US" w:eastAsia="zh-CN"/>
              </w:rPr>
            </w:pPr>
            <w:r>
              <w:rPr>
                <w:rFonts w:hint="default"/>
                <w:lang w:val="en-US" w:eastAsia="zh-CN"/>
              </w:rPr>
              <w:t>0.777 / 0.727</w:t>
            </w:r>
          </w:p>
        </w:tc>
        <w:tc>
          <w:tcPr>
            <w:tcW w:w="0" w:type="auto"/>
            <w:shd w:val="clear"/>
            <w:vAlign w:val="center"/>
          </w:tcPr>
          <w:p w14:paraId="403E2939">
            <w:pPr>
              <w:rPr>
                <w:rFonts w:hint="default"/>
                <w:lang w:val="en-US" w:eastAsia="zh-CN"/>
              </w:rPr>
            </w:pPr>
            <w:r>
              <w:rPr>
                <w:rFonts w:hint="default"/>
                <w:lang w:val="en-US" w:eastAsia="zh-CN"/>
              </w:rPr>
              <w:t>经典配料关系：这清晰地揭示了“辅料-主材”的购买模式。消费者在购买作为调味品的“姜蒜小米椒组合装”时，有极大概率会同时购买适合用其烹饪的“小皱皮”等主菜。</w:t>
            </w:r>
          </w:p>
        </w:tc>
      </w:tr>
      <w:tr w14:paraId="3C3C87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8BB661A">
            <w:pPr>
              <w:rPr>
                <w:rFonts w:hint="default"/>
                <w:lang w:val="en-US" w:eastAsia="zh-CN"/>
              </w:rPr>
            </w:pPr>
            <w:r>
              <w:rPr>
                <w:rFonts w:hint="default"/>
                <w:lang w:val="en-US" w:eastAsia="zh-CN"/>
              </w:rPr>
              <w:t>竹叶菜 ↔ 红薯尖</w:t>
            </w:r>
          </w:p>
        </w:tc>
        <w:tc>
          <w:tcPr>
            <w:tcW w:w="0" w:type="auto"/>
            <w:shd w:val="clear"/>
            <w:vAlign w:val="center"/>
          </w:tcPr>
          <w:p w14:paraId="0AC47853">
            <w:pPr>
              <w:rPr>
                <w:rFonts w:hint="default"/>
                <w:lang w:val="en-US" w:eastAsia="zh-CN"/>
              </w:rPr>
            </w:pPr>
            <w:r>
              <w:rPr>
                <w:rFonts w:hint="default"/>
                <w:lang w:val="en-US" w:eastAsia="zh-CN"/>
              </w:rPr>
              <w:t>0.716</w:t>
            </w:r>
          </w:p>
        </w:tc>
        <w:tc>
          <w:tcPr>
            <w:tcW w:w="0" w:type="auto"/>
            <w:shd w:val="clear"/>
            <w:vAlign w:val="center"/>
          </w:tcPr>
          <w:p w14:paraId="0530D233">
            <w:pPr>
              <w:rPr>
                <w:rFonts w:hint="default"/>
                <w:lang w:val="en-US" w:eastAsia="zh-CN"/>
              </w:rPr>
            </w:pPr>
            <w:r>
              <w:rPr>
                <w:rFonts w:hint="default"/>
                <w:lang w:val="en-US" w:eastAsia="zh-CN"/>
              </w:rPr>
              <w:t>季节性同步：两者均为典型的夏季时令蔬菜，其销量的强相关性主要由共同的季节性因素驱动。</w:t>
            </w:r>
          </w:p>
        </w:tc>
      </w:tr>
    </w:tbl>
    <w:p w14:paraId="4FD10EC1">
      <w:pPr>
        <w:rPr>
          <w:rFonts w:hint="default"/>
          <w:lang w:val="en-US" w:eastAsia="zh-CN"/>
        </w:rPr>
      </w:pPr>
    </w:p>
    <w:p w14:paraId="36F974B7">
      <w:pPr>
        <w:rPr>
          <w:rFonts w:hint="default"/>
          <w:lang w:val="en-US" w:eastAsia="zh-CN"/>
        </w:rPr>
      </w:pPr>
    </w:p>
    <w:p w14:paraId="0DFFC216">
      <w:pPr>
        <w:rPr>
          <w:rFonts w:hint="default"/>
          <w:lang w:val="en-US" w:eastAsia="zh-CN"/>
        </w:rPr>
      </w:pPr>
    </w:p>
    <w:p w14:paraId="2440D634">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251">
      <wne:fci wne:fciName="InsertInkComment" wne:swArg="0000"/>
    </wne:keymap>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2B5A86"/>
    <w:rsid w:val="092C3269"/>
    <w:rsid w:val="0D305DA2"/>
    <w:rsid w:val="107C6D27"/>
    <w:rsid w:val="279474EA"/>
    <w:rsid w:val="2C156FDF"/>
    <w:rsid w:val="41BD71CB"/>
    <w:rsid w:val="44440FF0"/>
    <w:rsid w:val="55CD31D8"/>
    <w:rsid w:val="6910009B"/>
    <w:rsid w:val="70E25BCA"/>
    <w:rsid w:val="71EE2AA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4">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5">
    <w:name w:val="heading 5"/>
    <w:basedOn w:val="1"/>
    <w:next w:val="1"/>
    <w:semiHidden/>
    <w:unhideWhenUsed/>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character" w:default="1" w:styleId="8">
    <w:name w:val="Default Paragraph Font"/>
    <w:semiHidden/>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Hyperlink"/>
    <w:basedOn w:val="8"/>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microsoft.com/office/2006/relationships/keyMapCustomizations" Target="customizations.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3979</Words>
  <Characters>4142</Characters>
  <Lines>0</Lines>
  <Paragraphs>0</Paragraphs>
  <TotalTime>11</TotalTime>
  <ScaleCrop>false</ScaleCrop>
  <LinksUpToDate>false</LinksUpToDate>
  <CharactersWithSpaces>4169</CharactersWithSpaces>
  <Application>WPS Office_12.1.0.22215_F1E327BC-269C-435d-A152-05C5408002CA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2025-01-24T01:36:00Z</dcterms:created>
  <dc:creator>jiaoo</dc:creator>
  <cp:lastModifiedBy>WPS_1644672902</cp:lastModifiedBy>
  <dcterms:modified xsi:type="dcterms:W3CDTF">2025-08-19T13:19:52Z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2052-12.1.0.22215</vt:lpwstr>
  </property>
  <property fmtid="{D5CDD505-2E9C-101B-9397-08002B2CF9AE}" pid="3" name="ICV">
    <vt:lpwstr>C57921249F8A4AE5A1B5B374696EEB7C_12</vt:lpwstr>
  </property>
  <property fmtid="{D5CDD505-2E9C-101B-9397-08002B2CF9AE}" pid="4" name="KSOTemplateDocerSaveRecord">
    <vt:lpwstr>eyJoZGlkIjoiODNmOGQ0NzQwYWMyMDZmOWZjZGNkODNkMjBlYTA4Y2IiLCJ1c2VySWQiOiIxMzI5NzE3NDgxIn0=</vt:lpwstr>
  </property>
</Properties>
</file>