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C511A">
      <w:pPr>
        <w:spacing w:line="360" w:lineRule="auto"/>
        <w:rPr>
          <w:rFonts w:hint="eastAsia" w:ascii="仿宋" w:hAnsi="仿宋" w:eastAsia="仿宋" w:cs="仿宋"/>
          <w:b/>
          <w:bCs/>
          <w:spacing w:val="2"/>
          <w:sz w:val="36"/>
          <w:szCs w:val="36"/>
          <w:lang w:val="en-US" w:eastAsia="zh-CN"/>
        </w:rPr>
      </w:pPr>
      <w:r>
        <w:rPr>
          <w:rFonts w:hint="eastAsia" w:ascii="仿宋" w:hAnsi="仿宋" w:eastAsia="仿宋" w:cs="仿宋"/>
          <w:b/>
          <w:bCs/>
          <w:spacing w:val="2"/>
          <w:sz w:val="36"/>
          <w:szCs w:val="36"/>
          <w:lang w:val="en-US" w:eastAsia="zh-CN"/>
        </w:rPr>
        <w:t>表演体验类</w:t>
      </w:r>
      <w:r>
        <w:rPr>
          <w:rFonts w:hint="eastAsia" w:ascii="仿宋" w:hAnsi="仿宋" w:eastAsia="仿宋" w:cs="仿宋"/>
          <w:b/>
          <w:bCs/>
          <w:spacing w:val="2"/>
          <w:sz w:val="36"/>
          <w:szCs w:val="36"/>
        </w:rPr>
        <w:t>实践｜</w:t>
      </w:r>
      <w:r>
        <w:rPr>
          <w:rFonts w:hint="eastAsia" w:ascii="仿宋" w:hAnsi="仿宋" w:eastAsia="仿宋" w:cs="仿宋"/>
          <w:b/>
          <w:bCs/>
          <w:spacing w:val="2"/>
          <w:sz w:val="36"/>
          <w:szCs w:val="36"/>
          <w:lang w:val="en-US" w:eastAsia="zh-CN"/>
        </w:rPr>
        <w:t>从话剧《双枰记》中体会文化自信</w:t>
      </w:r>
    </w:p>
    <w:p w14:paraId="2E20109C">
      <w:pPr>
        <w:spacing w:line="360" w:lineRule="auto"/>
        <w:rPr>
          <w:rFonts w:hint="eastAsia" w:ascii="仿宋" w:hAnsi="仿宋" w:eastAsia="仿宋" w:cs="仿宋"/>
          <w:b/>
          <w:bCs/>
          <w:sz w:val="28"/>
          <w:szCs w:val="28"/>
        </w:rPr>
      </w:pP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"mailto:本公众号旨在辅助习近平新时代中国特色社会主义思想概论课程实践教学的开展，将定期发布相关实践信息，同时展示大学生们的优秀实践成果，供各位学生参考。敬请关注和投稿！投稿邮箱wjxgwy@163.com。" </w:instrText>
      </w:r>
      <w:r>
        <w:rPr>
          <w:rFonts w:hint="eastAsia" w:ascii="仿宋" w:hAnsi="仿宋" w:eastAsia="仿宋" w:cs="仿宋"/>
          <w:sz w:val="28"/>
          <w:szCs w:val="28"/>
        </w:rPr>
        <w:fldChar w:fldCharType="separate"/>
      </w:r>
      <w:r>
        <w:rPr>
          <w:rFonts w:hint="eastAsia" w:ascii="仿宋" w:hAnsi="仿宋" w:eastAsia="仿宋" w:cs="仿宋"/>
          <w:sz w:val="28"/>
          <w:szCs w:val="28"/>
        </w:rPr>
        <w:t>本公众号旨在辅助习近平新时代中国特色社会主义思想概论课程实践教学的开展，将定期发布相关实践信息，同时展示大学生们的优秀实践成果，供各位学生参考。敬请关注和投稿！投稿邮箱wjxgwy@163.com</w:t>
      </w:r>
      <w:r>
        <w:rPr>
          <w:rFonts w:hint="eastAsia" w:ascii="仿宋" w:hAnsi="仿宋" w:eastAsia="仿宋" w:cs="仿宋"/>
          <w:sz w:val="28"/>
          <w:szCs w:val="28"/>
        </w:rPr>
        <w:fldChar w:fldCharType="end"/>
      </w:r>
      <w:r>
        <w:rPr>
          <w:rFonts w:hint="eastAsia" w:ascii="仿宋" w:hAnsi="仿宋" w:eastAsia="仿宋" w:cs="仿宋"/>
          <w:sz w:val="28"/>
          <w:szCs w:val="28"/>
        </w:rPr>
        <w:t>。投稿前请保证政治表述无误，无知识产权纠纷，不出现隐私泄露，集体项目或作业须征求其他成员同意。本公众号运营者会根据审核结果对投稿内容进行微调，但不涉及主要内容。</w:t>
      </w:r>
    </w:p>
    <w:p w14:paraId="72C67CC5">
      <w:pPr>
        <w:spacing w:line="360" w:lineRule="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rPr>
        <w:t>实践题目：</w:t>
      </w:r>
      <w:r>
        <w:rPr>
          <w:rFonts w:hint="eastAsia" w:ascii="仿宋_GB2312" w:hAnsi="仿宋_GB2312" w:eastAsia="仿宋_GB2312" w:cs="仿宋_GB2312"/>
          <w:b w:val="0"/>
          <w:bCs w:val="0"/>
          <w:sz w:val="28"/>
          <w:szCs w:val="28"/>
        </w:rPr>
        <w:t>从话剧《双枰记》中体会文化自信</w:t>
      </w:r>
    </w:p>
    <w:p w14:paraId="11F9C063">
      <w:pPr>
        <w:spacing w:line="360" w:lineRule="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rPr>
        <w:t>实践类别：</w:t>
      </w:r>
      <w:r>
        <w:rPr>
          <w:rFonts w:hint="eastAsia" w:ascii="仿宋_GB2312" w:hAnsi="仿宋_GB2312" w:eastAsia="仿宋_GB2312" w:cs="仿宋_GB2312"/>
          <w:b w:val="0"/>
          <w:bCs w:val="0"/>
          <w:sz w:val="28"/>
          <w:szCs w:val="28"/>
          <w:lang w:val="en-US" w:eastAsia="zh-CN"/>
        </w:rPr>
        <w:t>表演体验类实践</w:t>
      </w:r>
    </w:p>
    <w:p w14:paraId="59E6147F">
      <w:pPr>
        <w:spacing w:line="360" w:lineRule="auto"/>
        <w:rPr>
          <w:rFonts w:hint="default" w:ascii="仿宋_GB2312" w:hAnsi="仿宋_GB2312" w:eastAsia="仿宋_GB2312" w:cs="仿宋_GB2312"/>
          <w:b w:val="0"/>
          <w:bCs w:val="0"/>
          <w:sz w:val="28"/>
          <w:szCs w:val="28"/>
          <w:lang w:val="en-US" w:eastAsia="zh-CN"/>
        </w:rPr>
      </w:pPr>
      <w:r>
        <w:rPr>
          <w:rFonts w:hint="eastAsia" w:ascii="仿宋_GB2312" w:hAnsi="仿宋_GB2312" w:eastAsia="仿宋_GB2312" w:cs="仿宋_GB2312"/>
          <w:b/>
          <w:bCs/>
          <w:sz w:val="28"/>
          <w:szCs w:val="28"/>
        </w:rPr>
        <w:t>理论适用</w:t>
      </w:r>
      <w:r>
        <w:rPr>
          <w:rFonts w:hint="eastAsia" w:ascii="仿宋_GB2312" w:hAnsi="仿宋_GB2312" w:eastAsia="仿宋_GB2312" w:cs="仿宋_GB2312"/>
          <w:b/>
          <w:bCs/>
          <w:sz w:val="28"/>
          <w:szCs w:val="28"/>
          <w:lang w:eastAsia="zh-CN"/>
        </w:rPr>
        <w:t>：</w:t>
      </w:r>
      <w:r>
        <w:rPr>
          <w:rFonts w:hint="eastAsia" w:ascii="仿宋_GB2312" w:hAnsi="仿宋_GB2312" w:eastAsia="仿宋_GB2312" w:cs="仿宋_GB2312"/>
          <w:b w:val="0"/>
          <w:bCs w:val="0"/>
          <w:sz w:val="28"/>
          <w:szCs w:val="28"/>
          <w:lang w:val="en-US" w:eastAsia="zh-CN"/>
        </w:rPr>
        <w:t>习近平文化思想；文化自信</w:t>
      </w:r>
    </w:p>
    <w:p w14:paraId="73C03805">
      <w:pPr>
        <w:spacing w:line="360" w:lineRule="auto"/>
        <w:jc w:val="left"/>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b/>
          <w:bCs/>
          <w:sz w:val="28"/>
          <w:szCs w:val="28"/>
          <w:lang w:val="en-US" w:eastAsia="zh-CN"/>
        </w:rPr>
        <w:t>班级姓名：</w:t>
      </w:r>
      <w:r>
        <w:rPr>
          <w:rFonts w:hint="eastAsia" w:ascii="仿宋_GB2312" w:hAnsi="仿宋_GB2312" w:eastAsia="仿宋_GB2312" w:cs="仿宋_GB2312"/>
          <w:b w:val="0"/>
          <w:bCs w:val="0"/>
          <w:sz w:val="28"/>
          <w:szCs w:val="28"/>
          <w:lang w:val="en-US" w:eastAsia="zh-CN"/>
        </w:rPr>
        <w:t>华政2560班 苏籽优</w:t>
      </w:r>
    </w:p>
    <w:p w14:paraId="52C805A6">
      <w:pPr>
        <w:spacing w:line="360" w:lineRule="auto"/>
        <w:jc w:val="left"/>
        <w:rPr>
          <w:rFonts w:hint="eastAsia" w:ascii="仿宋_GB2312" w:hAnsi="仿宋_GB2312" w:eastAsia="仿宋_GB2312" w:cs="仿宋_GB2312"/>
          <w:b/>
          <w:bCs/>
          <w:sz w:val="28"/>
          <w:szCs w:val="28"/>
          <w:lang w:eastAsia="zh-CN"/>
        </w:rPr>
      </w:pPr>
      <w:r>
        <w:rPr>
          <w:rFonts w:hint="eastAsia" w:ascii="仿宋_GB2312" w:hAnsi="仿宋_GB2312" w:eastAsia="仿宋_GB2312" w:cs="仿宋_GB2312"/>
          <w:b/>
          <w:bCs/>
          <w:sz w:val="28"/>
          <w:szCs w:val="28"/>
        </w:rPr>
        <w:t>项目介绍</w:t>
      </w:r>
      <w:r>
        <w:rPr>
          <w:rFonts w:hint="eastAsia" w:ascii="仿宋_GB2312" w:hAnsi="仿宋_GB2312" w:eastAsia="仿宋_GB2312" w:cs="仿宋_GB2312"/>
          <w:b/>
          <w:bCs/>
          <w:sz w:val="28"/>
          <w:szCs w:val="28"/>
          <w:lang w:eastAsia="zh-CN"/>
        </w:rPr>
        <w:t>：</w:t>
      </w:r>
    </w:p>
    <w:p w14:paraId="646CAEEC">
      <w:pPr>
        <w:spacing w:line="360" w:lineRule="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表演体验类实践适应青年群体的行为特征，旨在引导大学生在模拟情境中沉浸式感悟习近平新时代中国特色社会主义思想，丰富其精神世界和校园生活。此类实践必须围绕课程教材的理论知识点、习近平重要观点和要求、党和国家重大战略部署、当前社会时事政治热点等，结合自身实际，参与情景表演、节目活动，体验网络应用、数字文创等。</w:t>
      </w:r>
    </w:p>
    <w:p w14:paraId="4AE9D3EE">
      <w:pPr>
        <w:spacing w:line="360" w:lineRule="auto"/>
        <w:rPr>
          <w:rFonts w:hint="eastAsia" w:ascii="仿宋" w:hAnsi="仿宋" w:eastAsia="仿宋" w:cs="仿宋"/>
          <w:b w:val="0"/>
          <w:bCs w:val="0"/>
          <w:sz w:val="28"/>
          <w:szCs w:val="28"/>
          <w:lang w:val="en-US" w:eastAsia="zh-CN"/>
        </w:rPr>
      </w:pPr>
      <w:r>
        <w:rPr>
          <w:rFonts w:hint="eastAsia" w:ascii="仿宋_GB2312" w:hAnsi="仿宋_GB2312" w:eastAsia="仿宋_GB2312" w:cs="仿宋_GB2312"/>
          <w:b/>
          <w:bCs/>
          <w:sz w:val="28"/>
          <w:szCs w:val="28"/>
        </w:rPr>
        <w:t>成果展示：</w:t>
      </w:r>
    </w:p>
    <w:p w14:paraId="4D2F61BA">
      <w:pPr>
        <w:spacing w:line="360" w:lineRule="auto"/>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文化是民族生存和发展的重要力量。习近平总书记强调：“中国式现代化，深深植根于中华优秀传统文化，体现科学社会主义的先进本质，借鉴吸收一切人类优秀文明成果，代表人类文明进步的发展方向，展现了不同于西方现代化模式的新图景，是一种全新的人类文明形态。”在习近平文化思想中始终贯穿着一条清晰的主线，那就是在坚定文化自信、确立文化主体性的过程中做好“两个结合”。当前，我国正处于以中国式现代化全面推进强国建设、民族复兴伟业的关键阶段，面对复杂的国际国内环境，要学深悟透习近平文化思想，坚定文化自信，巩固文化主体性，为中国式现代化注入持久力量。</w:t>
      </w:r>
    </w:p>
    <w:p w14:paraId="7AD8E8F3">
      <w:pPr>
        <w:numPr>
          <w:ilvl w:val="0"/>
          <w:numId w:val="0"/>
        </w:numPr>
        <w:spacing w:line="360" w:lineRule="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一、故事简介</w:t>
      </w:r>
    </w:p>
    <w:p w14:paraId="45FA9CC8">
      <w:pPr>
        <w:numPr>
          <w:ilvl w:val="0"/>
          <w:numId w:val="0"/>
        </w:numPr>
        <w:spacing w:line="360" w:lineRule="auto"/>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《双枰记》的故事，起于一间幽暗囚室，终于一盏长明的滚灯。</w:t>
      </w:r>
    </w:p>
    <w:p w14:paraId="287F58CE">
      <w:pPr>
        <w:numPr>
          <w:ilvl w:val="0"/>
          <w:numId w:val="0"/>
        </w:numPr>
        <w:spacing w:line="360" w:lineRule="auto"/>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故事发生于民国二十二年春的一个夜晚，南京江宁的看守所内。明日即将开庭审判的程无右（原型陈独秀）迎来了两位旧友——卢泊安（原型胡适、鲁迅）和郎世颺（原型章士钊）。三人曾是好友，如今却因理想与道路的分歧而疏远。卢泊安奔走，为程无右请来了昔日故交郎世颺作为辩护律师，一场关于信仰、道路和“对错”的激烈辩论就此展开。</w:t>
      </w:r>
    </w:p>
    <w:p w14:paraId="101F3D41">
      <w:pPr>
        <w:numPr>
          <w:ilvl w:val="0"/>
          <w:numId w:val="0"/>
        </w:numPr>
        <w:spacing w:line="360" w:lineRule="auto"/>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程无右是那个敢闯敢拼、搅动时局的人，他把自己活成了一把刺向黑暗的利刃，爱憎分明，行事坦荡。郎世飖则一心想要保全他，这份守护，恰是在对方决意以命相搏之时，执意护其周全。他坚信，在最黑暗的岁月里，总有人要于坎坷泥泞中谨慎前行，暗处守护文明的星火。卢泊安始终以旁观者的姿态记录一切，他表面淡然折中，甚至略带戏谑，却以最沉痛的笔触，剖开了理想与现实、情谊与道义、赤诚与凉薄之间难以填补的鸿沟。</w:t>
      </w:r>
    </w:p>
    <w:p w14:paraId="06FF2ABC">
      <w:pPr>
        <w:numPr>
          <w:ilvl w:val="0"/>
          <w:numId w:val="0"/>
        </w:numPr>
        <w:spacing w:line="360" w:lineRule="auto"/>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剧中还穿插了条南棋北鼓的线索，通过南京棋摊的冯小寒和北平唱大鼓的邵玉筝（原型骆玉笙）的视角，串联起三人二十年的过往。她们不仅是故事的见证者，也是时代洪流投影下有血有肉，嬉笑怒骂，跳掷腾挪的小人物的缩影。邵玉筝的戏腔一出来，观众的心情就被紧紧牵动；冯小寒一口江宁方言，一开口就把人拉回那个动荡不安的年代。当她轻声说出“南京不像北平，日本人应该轻易打不进来吧”这句话时，台下总会响起一片倒抽冷气的声音，历史的残酷与普通人的天真，在这一刻撞出强烈的戏剧效果，深深打动着每一位观众的心。</w:t>
      </w:r>
    </w:p>
    <w:p w14:paraId="17BAC85C">
      <w:pPr>
        <w:numPr>
          <w:ilvl w:val="0"/>
          <w:numId w:val="0"/>
        </w:numPr>
        <w:spacing w:line="360" w:lineRule="auto"/>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“这出戏里，没有英雄，只有不肯熄灭的凡人。”</w:t>
      </w:r>
    </w:p>
    <w:p w14:paraId="27484399">
      <w:pPr>
        <w:numPr>
          <w:ilvl w:val="0"/>
          <w:numId w:val="0"/>
        </w:numPr>
        <w:spacing w:line="360" w:lineRule="auto"/>
        <w:ind w:firstLine="560" w:firstLineChars="20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双枰记》凭着独有的艺术魅力，把观众带回了那个风雨飘摇，却又满是理想光芒的年代。它不只是一部舞台剧，更是中国当代舞台剧中展现文化自信的生动例子。它的存在，彰显着中国舞台剧正慢慢摆脱对西方戏剧的简单模仿与翻译，沉下心来挖掘本土的历史底蕴和人文精神，一点点搭建起一套具有中国特色的有思想深度、也有审美品格的表达体系。</w:t>
      </w:r>
    </w:p>
    <w:p w14:paraId="35A58AD0">
      <w:pPr>
        <w:numPr>
          <w:ilvl w:val="0"/>
          <w:numId w:val="0"/>
        </w:numPr>
        <w:spacing w:line="360" w:lineRule="auto"/>
        <w:ind w:leftChars="0"/>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二、所思所想</w:t>
      </w:r>
    </w:p>
    <w:p w14:paraId="4AD3C77D">
      <w:pPr>
        <w:numPr>
          <w:ilvl w:val="0"/>
          <w:numId w:val="0"/>
        </w:numPr>
        <w:spacing w:line="360" w:lineRule="auto"/>
        <w:ind w:leftChars="0"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习近平总书记指出：“文化自信，是更基础、更广泛、更深厚的自信，是更基本、更深沉、更持久的力量。”《双枰记》中的文化自信，藏在创作的每一个细节里，有对本土文化的深入挖掘，更有对中华优秀传统文化的创造性转化和创新性发展，是对习近平文化思想的深刻体现。</w:t>
      </w:r>
    </w:p>
    <w:p w14:paraId="6114F404">
      <w:pPr>
        <w:numPr>
          <w:ilvl w:val="0"/>
          <w:numId w:val="0"/>
        </w:numPr>
        <w:spacing w:line="360" w:lineRule="auto"/>
        <w:ind w:leftChars="0"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这份文化自信，首先体现在其对本土历史题材的深刻挖掘与现代性诠释上。剧作将时代洪流浓缩于一间囚室，通过三位昔日挚友在信仰、道路与情义上的激烈碰撞，折射出近代中国知识分子的精神观念。这种叙事策略，不再满足于对历史事件的简单复刻，而是深入历史人物的内心世界，探讨在复杂时局下个体如何坚守信念、践行道义。剧中三人在回望一生时，留下了一段沉痛而真诚的自白：“想余三人，劳碌半生，多不可解又恐天不假年，欲效张岱墓志铭为此书作序:壮岁喜功名，实则既不能识人，又不能察势，执意孤行致多方树敌。或又书生掌兵，时常自苦，夺利争名，技不如人。或又才华满腹而无一专精，学书不成，学仕不成，学文章不成，学稻粱谋亦不成。遥思往事，是报人，是学人，是党人，是愚人，是烂柯人也已矣。”这段自白，让知识分子的形象脱去光环，回归真实可感的凡人，也让作品的历史反思更具深度与温度。剧中那句“谁能说自己坚持的东西就一定是对的”，早已超越了具体的历史语境，升华为对个人理想信念的叩问，从而与当代观众建立起深刻的精神共鸣。这种从讲故事到谈思想的转变，标志着中国舞台剧在历史题材处理上的成熟与自信，也让我们更明白如习近平总书记所强调的：“历史和现实都表明，一个抛弃了或者背叛了自己历史文化的民族，不仅不可能发展起来，而且很可能上演一幕幕历史悲剧。”</w:t>
      </w:r>
    </w:p>
    <w:p w14:paraId="71EB156F">
      <w:pPr>
        <w:numPr>
          <w:ilvl w:val="0"/>
          <w:numId w:val="0"/>
        </w:numPr>
        <w:spacing w:line="360" w:lineRule="auto"/>
        <w:ind w:leftChars="0"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其次，这份文化自信体现在“以人民为中心”的创作导向上。习近平总书记强调，社会主义文艺从本质上讲就是人民的文艺，必须坚持以人民为中心的创作导向，用心用情用功抒写人民、描绘人民、歌唱人民。《双枰记》坚持以“扎实的剧本、极具文学性的台词”为核心竞争力。“程婴杵臼，月照西乡，吾与足下分任之”“莫道相公痴，更有痴似相公者”能清晰看出编剧扎实的文字功底，也能真切感受到创作团队对语言艺术的尊重。剧中更借人物之口点明创作初心：“当初我们三个人为什么要写《双枰记》，还不是因为那些发表在报纸上的政论檄文只能影响到一小部分知识人士，而对煌煌大众毫无用处吗？你说写一本章回小说，以我等身立耳闻，趁机将新思想的火种播种下去，文章尚且不拘一格，做事为何不能变通？”这正是文艺走向人民、扎根大众的生动体现。好的故事、深刻的思想，本身就有打动人心的力量，这正如习近平总书记所言：“文艺创作方法有一百条、一千条，但最根本、最关键、最牢靠的办法是扎根人民、扎根生活。”《双枰记》正是在对历史与人性的深度挖掘中，找到了与当代观众情感共鸣的关键，通过语言表达与肢体演绎，成功做到了“跳出身边的小悲欢，走进实践深处，反映人民生活，表达人民心声，用心用情用功抒写人民、描绘人民、歌唱人民。”</w:t>
      </w:r>
    </w:p>
    <w:p w14:paraId="1DF6B7AD">
      <w:pPr>
        <w:numPr>
          <w:ilvl w:val="0"/>
          <w:numId w:val="0"/>
        </w:numPr>
        <w:spacing w:line="360" w:lineRule="auto"/>
        <w:ind w:leftChars="0"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也正是创作团队对于“以人民为中心”的创作理念的坚持，剧中的一些话也越发振聋发聩。摆棋摊的冯小寒说，聚众口号喊的是为老百姓好，结果买纸几分钱还要讲价，好在哪里噢。卢泊安怀念求三野时说，我们都在谈论高大的主义，唯有三野看到了具体的难处。还有那句“我读得了这圣贤书，却管不了这窗外事”。高大的主义确实有用，指导我们的前进方向，可是又因其过于高大，而无法切实到真正的贫苦大众之中。这种对知识分子局限性的自觉反思，恰恰体现了创作者的文化自信，它扎根人民、扎根生活，不需要粉饰，不需要回避，而是直面问题，在思辨中寻求答案。</w:t>
      </w:r>
    </w:p>
    <w:p w14:paraId="6674CF8E">
      <w:pPr>
        <w:numPr>
          <w:ilvl w:val="0"/>
          <w:numId w:val="0"/>
        </w:numPr>
        <w:spacing w:line="360" w:lineRule="auto"/>
        <w:ind w:leftChars="0"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两位女性角色的设置，同样是“以人民为中心”的生动体现。她们不是女儿、妻子、母亲这类依附的存在，不是工具人，而是“脚下是地，抬头是天”的小买卖生意人。邵玉筝的坚毅果敢，冯小寒的灵动鲜活，为这部文人戏注入了市井的烟火气。邵玉筝道出“迢”这个字“不要听别人怎么说，路在脚下，自个儿好好走就能唱出个名堂”，是对于当今人民的精神内核需求的满足。</w:t>
      </w:r>
    </w:p>
    <w:p w14:paraId="3D812C40">
      <w:pPr>
        <w:numPr>
          <w:ilvl w:val="0"/>
          <w:numId w:val="0"/>
        </w:numPr>
        <w:spacing w:line="360" w:lineRule="auto"/>
        <w:ind w:leftChars="0"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剧中的文化自信也体现在传统美学的当代表达。剧中对滚灯意象的运用源自宋代民俗、承载着“烛火不灭”寓意的文化符号，在剧中成为理想主义精神的象征，对滚灯这一传统意象的创造性运用，让传统文化符号在当代舞台真正“活”了起来；把南棋北鼓的市井故事融进文人的思辨中，用人间烟火气中和思想交锋，充分展现了“极高明而道中庸”的东方叙事智慧；对棋道人道的诠释“接不归”“通盘劫”“双飞燕”“断处生”既是棋局术语，也是人物命运的判词；对“情义”解读则将古典的“士为知己者死”转化为现代知识分子的道义担当。这正是对习近平总书记“推动中华优秀传统文化创造性转化、创新性发展”重要论述的生动实践，让那些写在古籍里、留存在民俗中的文化符号，成为舞台上连接人物和主题的核心载体，也充分印证了习近平总书记关于“要系统梳理传统文化资源，让收藏在博物馆里的文物、陈列在广阔大地上的遗产、书写在古籍里的文字都活起来。”的重要论述，让传统文化符号在当代舞台上“活起来”。</w:t>
      </w:r>
    </w:p>
    <w:p w14:paraId="413956E2">
      <w:pPr>
        <w:numPr>
          <w:ilvl w:val="0"/>
          <w:numId w:val="0"/>
        </w:numPr>
        <w:spacing w:line="360" w:lineRule="auto"/>
        <w:ind w:leftChars="0"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习近平总书记在文化传承发展座谈会上指出：“‘第二个结合’是又一次的思想解放，让我们能够在更广阔的文化空间中，充分运用中华优秀传统文化的宝贵资源，探索面向未来的理论和制度创新。”《双枰记》正是这一论断的生动实践——滚灯的精神象征、棋道与人生的交融、古典情义的现代转化，无不彰显着中华五千年文明是中国特色的根基，是中国特色社会主义道路行稳致远的文化支撑。正如习近平总书记所强调的：“如果没有中华五千年文明，哪里有什么中国特色？如果不是中国特色，哪有我们今天这么成功的中国特色社会主义道路？”</w:t>
      </w:r>
    </w:p>
    <w:p w14:paraId="5E5E7EDE">
      <w:pPr>
        <w:numPr>
          <w:ilvl w:val="0"/>
          <w:numId w:val="0"/>
        </w:numPr>
        <w:spacing w:line="360" w:lineRule="auto"/>
        <w:ind w:leftChars="0"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同时，《双枰记》也生动践行了习近平总书记关于文艺创作的重要论述。总书记在中国文联十一大、中国作协十大开幕式上强调：“文化是民族的精神命脉，文艺是时代的号角。广大文艺工作者要树立大历史观、大时代观，把握历史进程和时代大势，反映中华民族的千年巨变，揭示百年中国的人间正道，弘扬以爱国主义为核心的民族精神和以改革创新为核心的时代精神。”《双枰记》以小见大，用一间囚室的对话承载百年家国的重量，用三位知识分子的坚守诠释民族精神的内核，在思想碰撞中传递价值，在历史回望中凝聚力量。</w:t>
      </w:r>
    </w:p>
    <w:p w14:paraId="411335FF">
      <w:pPr>
        <w:numPr>
          <w:ilvl w:val="0"/>
          <w:numId w:val="0"/>
        </w:numPr>
        <w:spacing w:line="360" w:lineRule="auto"/>
        <w:ind w:leftChars="0"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双枰记》的成功，从来不是偶然，也不是个例，而是新时代中国舞台艺术繁荣发展的一个缩影。这些年，中国舞台艺术界好作品不断涌现，处处都能感受到浓厚的文化自觉与自信。音乐剧领域，《蝶变》等原创作品深挖本土文化，把历史和现代舞台表达巧妙融合，成功出海，实现了从“引进来”到“走出去”的精彩转变；舞剧领域，《只此青绿》《红楼梦》等现象级作品，以“讲好中国故事”为己任，用优美</w:t>
      </w:r>
      <w:bookmarkStart w:id="0" w:name="_GoBack"/>
      <w:bookmarkEnd w:id="0"/>
      <w:r>
        <w:rPr>
          <w:rFonts w:hint="default" w:ascii="仿宋_GB2312" w:hAnsi="仿宋_GB2312" w:eastAsia="仿宋_GB2312" w:cs="仿宋_GB2312"/>
          <w:sz w:val="28"/>
          <w:szCs w:val="28"/>
          <w:lang w:val="en-US" w:eastAsia="zh-CN"/>
        </w:rPr>
        <w:t>的舞蹈诠释中华美学精神，让观众在享受美的同时，真切感受中华文化的博大精深，让古老的文化基因在当代舞台上焕发新生；话剧领域，国家话剧院、上海话剧艺术中心、话剧九人等，秉持“以人民为中心”的创作导向，精心打磨出《鼓楼那些事儿》《商鞅》《四张机》等作品，要么回望历史，要么聚焦现实，把本土故事的戏剧张力和思想深度挖深、挖透。</w:t>
      </w:r>
    </w:p>
    <w:p w14:paraId="609C455F">
      <w:pPr>
        <w:numPr>
          <w:ilvl w:val="0"/>
          <w:numId w:val="0"/>
        </w:numPr>
        <w:spacing w:line="360" w:lineRule="auto"/>
        <w:ind w:leftChars="0" w:firstLine="560" w:firstLineChars="200"/>
        <w:rPr>
          <w:rFonts w:hint="default" w:ascii="仿宋_GB2312" w:hAnsi="仿宋_GB2312" w:eastAsia="仿宋_GB2312" w:cs="仿宋_GB2312"/>
          <w:sz w:val="28"/>
          <w:szCs w:val="28"/>
          <w:lang w:val="en-US" w:eastAsia="zh-CN"/>
        </w:rPr>
      </w:pPr>
      <w:r>
        <w:rPr>
          <w:rFonts w:hint="default" w:ascii="仿宋_GB2312" w:hAnsi="仿宋_GB2312" w:eastAsia="仿宋_GB2312" w:cs="仿宋_GB2312"/>
          <w:sz w:val="28"/>
          <w:szCs w:val="28"/>
          <w:lang w:val="en-US" w:eastAsia="zh-CN"/>
        </w:rPr>
        <w:t>总而言之，《双枰记》的成功展现了中国舞台剧的新趋向：创作者们愈发自觉地从中华优秀传统文化中寻找灵感，用世界听得懂的语言讲述中国故事，用中国独有的艺术形式表达中国精神。这不仅是对习近平总书记“坚定文化自信，推动社会主义文化繁荣兴盛”号召的积极响应，更是中国舞台剧在新时代实现高质量发展的必由之路。中国舞台剧的繁荣发展证明，只有植根于中华优秀传统文化的沃土，坚持守正创新，坚持以人民为中心，我们的文艺才能创作出无愧于时代、无愧于人民的精品力作，才能在世界文化激荡中站稳脚跟，不断铸就中华文化新辉煌。</w:t>
      </w:r>
    </w:p>
    <w:p w14:paraId="57BAD62E">
      <w:pPr>
        <w:numPr>
          <w:ilvl w:val="0"/>
          <w:numId w:val="0"/>
        </w:numPr>
        <w:spacing w:line="360" w:lineRule="auto"/>
        <w:rPr>
          <w:rFonts w:hint="default" w:ascii="仿宋_GB2312" w:hAnsi="仿宋_GB2312" w:eastAsia="仿宋_GB2312" w:cs="仿宋_GB2312"/>
          <w:sz w:val="28"/>
          <w:szCs w:val="28"/>
          <w:lang w:val="en-US" w:eastAsia="zh-CN"/>
        </w:rPr>
      </w:pPr>
    </w:p>
    <w:p w14:paraId="33764F25">
      <w:pPr>
        <w:numPr>
          <w:ilvl w:val="0"/>
          <w:numId w:val="0"/>
        </w:numPr>
        <w:spacing w:line="360" w:lineRule="auto"/>
        <w:rPr>
          <w:rFonts w:hint="default" w:ascii="仿宋_GB2312" w:hAnsi="仿宋_GB2312" w:eastAsia="仿宋_GB2312" w:cs="仿宋_GB2312"/>
          <w:sz w:val="28"/>
          <w:szCs w:val="28"/>
          <w:lang w:val="en-US" w:eastAsia="zh-CN"/>
        </w:rPr>
      </w:pPr>
    </w:p>
    <w:p w14:paraId="35360E71">
      <w:pPr>
        <w:numPr>
          <w:ilvl w:val="0"/>
          <w:numId w:val="0"/>
        </w:numPr>
        <w:spacing w:line="360" w:lineRule="auto"/>
        <w:rPr>
          <w:rFonts w:hint="default" w:ascii="仿宋_GB2312" w:hAnsi="仿宋_GB2312" w:eastAsia="仿宋_GB2312" w:cs="仿宋_GB2312"/>
          <w:sz w:val="28"/>
          <w:szCs w:val="28"/>
          <w:lang w:val="en-US" w:eastAsia="zh-CN"/>
        </w:rPr>
      </w:pPr>
    </w:p>
    <w:p w14:paraId="588EEE7D">
      <w:pPr>
        <w:numPr>
          <w:ilvl w:val="0"/>
          <w:numId w:val="0"/>
        </w:numPr>
        <w:spacing w:line="360" w:lineRule="auto"/>
        <w:rPr>
          <w:rFonts w:hint="default" w:ascii="仿宋_GB2312" w:hAnsi="仿宋_GB2312" w:eastAsia="仿宋_GB2312" w:cs="仿宋_GB2312"/>
          <w:sz w:val="28"/>
          <w:szCs w:val="28"/>
          <w:lang w:val="en-US" w:eastAsia="zh-CN"/>
        </w:rPr>
      </w:pPr>
    </w:p>
    <w:p w14:paraId="6623E127">
      <w:pPr>
        <w:numPr>
          <w:ilvl w:val="0"/>
          <w:numId w:val="0"/>
        </w:numPr>
        <w:spacing w:line="360" w:lineRule="auto"/>
        <w:rPr>
          <w:rFonts w:hint="default" w:ascii="仿宋_GB2312" w:hAnsi="仿宋_GB2312" w:eastAsia="仿宋_GB2312" w:cs="仿宋_GB2312"/>
          <w:sz w:val="28"/>
          <w:szCs w:val="28"/>
          <w:lang w:val="en-US" w:eastAsia="zh-CN"/>
        </w:rPr>
      </w:pPr>
    </w:p>
    <w:p w14:paraId="048F0269">
      <w:pPr>
        <w:numPr>
          <w:ilvl w:val="0"/>
          <w:numId w:val="0"/>
        </w:numPr>
        <w:spacing w:line="360" w:lineRule="auto"/>
        <w:rPr>
          <w:rFonts w:hint="default" w:ascii="仿宋_GB2312" w:hAnsi="仿宋_GB2312" w:eastAsia="仿宋_GB2312" w:cs="仿宋_GB2312"/>
          <w:sz w:val="28"/>
          <w:szCs w:val="28"/>
          <w:lang w:val="en-US" w:eastAsia="zh-CN"/>
        </w:rPr>
      </w:pPr>
    </w:p>
    <w:p w14:paraId="0872DEDD">
      <w:pPr>
        <w:numPr>
          <w:ilvl w:val="0"/>
          <w:numId w:val="0"/>
        </w:numPr>
        <w:spacing w:line="360" w:lineRule="auto"/>
        <w:rPr>
          <w:rFonts w:hint="default" w:ascii="仿宋_GB2312" w:hAnsi="仿宋_GB2312" w:eastAsia="仿宋_GB2312" w:cs="仿宋_GB2312"/>
          <w:sz w:val="28"/>
          <w:szCs w:val="28"/>
          <w:lang w:val="en-US" w:eastAsia="zh-CN"/>
        </w:rPr>
      </w:pPr>
    </w:p>
    <w:p w14:paraId="1F05718B">
      <w:pPr>
        <w:numPr>
          <w:ilvl w:val="0"/>
          <w:numId w:val="0"/>
        </w:numPr>
        <w:spacing w:line="360" w:lineRule="auto"/>
        <w:rPr>
          <w:rFonts w:hint="default" w:ascii="仿宋_GB2312" w:hAnsi="仿宋_GB2312" w:eastAsia="仿宋_GB2312" w:cs="仿宋_GB2312"/>
          <w:sz w:val="28"/>
          <w:szCs w:val="28"/>
          <w:lang w:val="en-US" w:eastAsia="zh-CN"/>
        </w:rPr>
      </w:pPr>
    </w:p>
    <w:p w14:paraId="61970638">
      <w:pPr>
        <w:pStyle w:val="21"/>
        <w:spacing w:line="400" w:lineRule="atLeast"/>
        <w:jc w:val="left"/>
        <w:rPr>
          <w:rFonts w:hint="default" w:cs="宋体" w:asciiTheme="minorEastAsia" w:hAnsiTheme="minorEastAsia" w:eastAsiaTheme="minorEastAsia"/>
          <w:b/>
          <w:bCs/>
          <w:color w:val="auto"/>
          <w:spacing w:val="14"/>
          <w:sz w:val="24"/>
          <w:szCs w:val="24"/>
        </w:rPr>
      </w:pPr>
      <w:r>
        <w:rPr>
          <w:rFonts w:cs="宋体" w:asciiTheme="minorEastAsia" w:hAnsiTheme="minorEastAsia" w:eastAsiaTheme="minorEastAsia"/>
          <w:b/>
          <w:bCs/>
          <w:color w:val="auto"/>
          <w:spacing w:val="14"/>
          <w:sz w:val="24"/>
          <w:szCs w:val="24"/>
        </w:rPr>
        <w:drawing>
          <wp:inline distT="0" distB="0" distL="0" distR="0">
            <wp:extent cx="5274310" cy="3046730"/>
            <wp:effectExtent l="0" t="0" r="8890" b="1270"/>
            <wp:docPr id="1789685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8567" name="图片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3046730"/>
                    </a:xfrm>
                    <a:prstGeom prst="rect">
                      <a:avLst/>
                    </a:prstGeom>
                    <a:noFill/>
                    <a:ln>
                      <a:noFill/>
                    </a:ln>
                  </pic:spPr>
                </pic:pic>
              </a:graphicData>
            </a:graphic>
          </wp:inline>
        </w:drawing>
      </w:r>
    </w:p>
    <w:p w14:paraId="312BB46F">
      <w:pPr>
        <w:pStyle w:val="21"/>
        <w:spacing w:line="400" w:lineRule="atLeast"/>
        <w:jc w:val="left"/>
        <w:rPr>
          <w:rFonts w:hint="default" w:cs="宋体" w:asciiTheme="minorEastAsia" w:hAnsiTheme="minorEastAsia" w:eastAsiaTheme="minorEastAsia"/>
          <w:b/>
          <w:bCs/>
          <w:color w:val="auto"/>
          <w:spacing w:val="14"/>
          <w:sz w:val="24"/>
          <w:szCs w:val="24"/>
        </w:rPr>
      </w:pPr>
      <w:r>
        <w:rPr>
          <w:rFonts w:cs="宋体" w:asciiTheme="minorEastAsia" w:hAnsiTheme="minorEastAsia" w:eastAsiaTheme="minorEastAsia"/>
          <w:b/>
          <w:bCs/>
          <w:color w:val="auto"/>
          <w:spacing w:val="14"/>
          <w:sz w:val="24"/>
          <w:szCs w:val="24"/>
        </w:rPr>
        <w:drawing>
          <wp:inline distT="0" distB="0" distL="0" distR="0">
            <wp:extent cx="5274310" cy="3640455"/>
            <wp:effectExtent l="0" t="0" r="8890" b="17145"/>
            <wp:docPr id="20914084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8441" name="图片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4310" cy="3640455"/>
                    </a:xfrm>
                    <a:prstGeom prst="rect">
                      <a:avLst/>
                    </a:prstGeom>
                    <a:noFill/>
                    <a:ln>
                      <a:noFill/>
                    </a:ln>
                  </pic:spPr>
                </pic:pic>
              </a:graphicData>
            </a:graphic>
          </wp:inline>
        </w:drawing>
      </w:r>
    </w:p>
    <w:p w14:paraId="45FD733D">
      <w:pPr>
        <w:pStyle w:val="21"/>
        <w:spacing w:line="400" w:lineRule="atLeast"/>
        <w:jc w:val="left"/>
        <w:rPr>
          <w:rFonts w:hint="default" w:cs="宋体" w:asciiTheme="minorEastAsia" w:hAnsiTheme="minorEastAsia" w:eastAsiaTheme="minorEastAsia"/>
          <w:b/>
          <w:bCs/>
          <w:color w:val="auto"/>
          <w:spacing w:val="14"/>
          <w:sz w:val="24"/>
          <w:szCs w:val="24"/>
        </w:rPr>
      </w:pPr>
      <w:r>
        <w:rPr>
          <w:rFonts w:cs="宋体" w:asciiTheme="minorEastAsia" w:hAnsiTheme="minorEastAsia" w:eastAsiaTheme="minorEastAsia"/>
          <w:b/>
          <w:bCs/>
          <w:color w:val="auto"/>
          <w:spacing w:val="14"/>
          <w:sz w:val="24"/>
          <w:szCs w:val="24"/>
        </w:rPr>
        <w:drawing>
          <wp:inline distT="0" distB="0" distL="0" distR="0">
            <wp:extent cx="5274310" cy="2728595"/>
            <wp:effectExtent l="0" t="0" r="8890" b="14605"/>
            <wp:docPr id="188669849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98499" name="图片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2728595"/>
                    </a:xfrm>
                    <a:prstGeom prst="rect">
                      <a:avLst/>
                    </a:prstGeom>
                    <a:noFill/>
                    <a:ln>
                      <a:noFill/>
                    </a:ln>
                  </pic:spPr>
                </pic:pic>
              </a:graphicData>
            </a:graphic>
          </wp:inline>
        </w:drawing>
      </w:r>
    </w:p>
    <w:p w14:paraId="72637D65">
      <w:pPr>
        <w:numPr>
          <w:ilvl w:val="0"/>
          <w:numId w:val="0"/>
        </w:numPr>
        <w:spacing w:line="360" w:lineRule="auto"/>
        <w:rPr>
          <w:rFonts w:hint="default" w:ascii="仿宋_GB2312" w:hAnsi="仿宋_GB2312" w:eastAsia="仿宋_GB2312" w:cs="仿宋_GB2312"/>
          <w:sz w:val="28"/>
          <w:szCs w:val="28"/>
          <w:lang w:val="en-US" w:eastAsia="zh-CN"/>
        </w:rPr>
      </w:pPr>
      <w:r>
        <w:rPr>
          <w:rFonts w:cs="宋体" w:asciiTheme="minorEastAsia" w:hAnsiTheme="minorEastAsia" w:eastAsiaTheme="minorEastAsia"/>
          <w:b/>
          <w:bCs/>
          <w:color w:val="auto"/>
          <w:spacing w:val="14"/>
          <w:sz w:val="24"/>
          <w:szCs w:val="24"/>
        </w:rPr>
        <w:drawing>
          <wp:inline distT="0" distB="0" distL="0" distR="0">
            <wp:extent cx="5274310" cy="2967355"/>
            <wp:effectExtent l="0" t="0" r="8890" b="4445"/>
            <wp:docPr id="13063811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81118" name="图片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2967355"/>
                    </a:xfrm>
                    <a:prstGeom prst="rect">
                      <a:avLst/>
                    </a:prstGeom>
                    <a:noFill/>
                    <a:ln>
                      <a:noFill/>
                    </a:ln>
                  </pic:spPr>
                </pic:pic>
              </a:graphicData>
            </a:graphic>
          </wp:inline>
        </w:drawing>
      </w:r>
    </w:p>
    <w:p w14:paraId="43BEA68C">
      <w:pPr>
        <w:numPr>
          <w:ilvl w:val="0"/>
          <w:numId w:val="0"/>
        </w:numPr>
        <w:spacing w:line="360" w:lineRule="auto"/>
        <w:rPr>
          <w:rFonts w:hint="default" w:ascii="仿宋_GB2312" w:hAnsi="仿宋_GB2312" w:eastAsia="仿宋_GB2312" w:cs="仿宋_GB2312"/>
          <w:sz w:val="28"/>
          <w:szCs w:val="28"/>
          <w:lang w:val="en-US" w:eastAsia="zh-CN"/>
        </w:rPr>
      </w:pPr>
    </w:p>
    <w:p w14:paraId="4D620500">
      <w:pPr>
        <w:numPr>
          <w:ilvl w:val="0"/>
          <w:numId w:val="0"/>
        </w:numPr>
        <w:spacing w:line="360" w:lineRule="auto"/>
        <w:rPr>
          <w:rFonts w:hint="eastAsia" w:ascii="仿宋_GB2312" w:hAnsi="仿宋_GB2312" w:eastAsia="仿宋_GB2312" w:cs="仿宋_GB2312"/>
          <w:color w:val="C00000"/>
          <w:sz w:val="84"/>
          <w:szCs w:val="84"/>
          <w:lang w:val="en-US" w:eastAsia="zh-CN"/>
        </w:rPr>
      </w:pPr>
    </w:p>
    <w:p w14:paraId="70F2AAA1">
      <w:pPr>
        <w:numPr>
          <w:ilvl w:val="0"/>
          <w:numId w:val="0"/>
        </w:numPr>
        <w:spacing w:line="360" w:lineRule="auto"/>
        <w:rPr>
          <w:rFonts w:hint="eastAsia" w:ascii="仿宋_GB2312" w:hAnsi="仿宋_GB2312" w:eastAsia="仿宋_GB2312" w:cs="仿宋_GB2312"/>
          <w:color w:val="C00000"/>
          <w:sz w:val="84"/>
          <w:szCs w:val="84"/>
          <w:lang w:val="en-US" w:eastAsia="zh-CN"/>
        </w:rPr>
      </w:pPr>
    </w:p>
    <w:p w14:paraId="4965A2ED">
      <w:pPr>
        <w:numPr>
          <w:ilvl w:val="0"/>
          <w:numId w:val="0"/>
        </w:numPr>
        <w:spacing w:line="360" w:lineRule="auto"/>
        <w:rPr>
          <w:rFonts w:hint="eastAsia" w:ascii="仿宋_GB2312" w:hAnsi="仿宋_GB2312" w:eastAsia="仿宋_GB2312" w:cs="仿宋_GB2312"/>
          <w:color w:val="C00000"/>
          <w:sz w:val="84"/>
          <w:szCs w:val="84"/>
          <w:lang w:val="en-US" w:eastAsia="zh-CN"/>
        </w:rPr>
      </w:pPr>
    </w:p>
    <w:p w14:paraId="03D88934">
      <w:pPr>
        <w:numPr>
          <w:ilvl w:val="0"/>
          <w:numId w:val="0"/>
        </w:numPr>
        <w:spacing w:line="360" w:lineRule="auto"/>
        <w:ind w:firstLine="560" w:firstLineChars="200"/>
        <w:rPr>
          <w:rFonts w:hint="default" w:ascii="仿宋_GB2312" w:hAnsi="仿宋_GB2312" w:eastAsia="仿宋_GB2312" w:cs="仿宋_GB2312"/>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8228FA"/>
    <w:rsid w:val="00041765"/>
    <w:rsid w:val="000609E5"/>
    <w:rsid w:val="00101C92"/>
    <w:rsid w:val="00147CD0"/>
    <w:rsid w:val="00276687"/>
    <w:rsid w:val="0029000C"/>
    <w:rsid w:val="002D6BBC"/>
    <w:rsid w:val="003A73D9"/>
    <w:rsid w:val="003D2CAB"/>
    <w:rsid w:val="00435EF0"/>
    <w:rsid w:val="00441A75"/>
    <w:rsid w:val="00473FD9"/>
    <w:rsid w:val="00495980"/>
    <w:rsid w:val="004C79BC"/>
    <w:rsid w:val="004D65A1"/>
    <w:rsid w:val="005915AA"/>
    <w:rsid w:val="00667775"/>
    <w:rsid w:val="007408BD"/>
    <w:rsid w:val="00786BF2"/>
    <w:rsid w:val="0080310A"/>
    <w:rsid w:val="009072BF"/>
    <w:rsid w:val="00A7185D"/>
    <w:rsid w:val="00AB752C"/>
    <w:rsid w:val="00C13B25"/>
    <w:rsid w:val="00CD650B"/>
    <w:rsid w:val="00E43682"/>
    <w:rsid w:val="00E504BC"/>
    <w:rsid w:val="00E54101"/>
    <w:rsid w:val="00E8772C"/>
    <w:rsid w:val="00F352AF"/>
    <w:rsid w:val="00F600BD"/>
    <w:rsid w:val="00F931E2"/>
    <w:rsid w:val="00FC41CE"/>
    <w:rsid w:val="1B8228FA"/>
    <w:rsid w:val="1FBDF8A1"/>
    <w:rsid w:val="2BC744E9"/>
    <w:rsid w:val="2C8941AA"/>
    <w:rsid w:val="2D814246"/>
    <w:rsid w:val="2F5591FF"/>
    <w:rsid w:val="3B7F54D4"/>
    <w:rsid w:val="3BAF49F0"/>
    <w:rsid w:val="3D9DA8AE"/>
    <w:rsid w:val="3F574722"/>
    <w:rsid w:val="3FFFB4C2"/>
    <w:rsid w:val="47BCCB6C"/>
    <w:rsid w:val="4EE306F8"/>
    <w:rsid w:val="53DBE2C2"/>
    <w:rsid w:val="55C14E6B"/>
    <w:rsid w:val="5CCFAF81"/>
    <w:rsid w:val="5EFF9CD7"/>
    <w:rsid w:val="677DD6DC"/>
    <w:rsid w:val="6F7A5CB7"/>
    <w:rsid w:val="77AE64BF"/>
    <w:rsid w:val="7BF69448"/>
    <w:rsid w:val="7C3F18D1"/>
    <w:rsid w:val="7D7F53FA"/>
    <w:rsid w:val="7F5FFF4E"/>
    <w:rsid w:val="7FB724EC"/>
    <w:rsid w:val="7FEEBAA7"/>
    <w:rsid w:val="7FF70472"/>
    <w:rsid w:val="7FF7AA47"/>
    <w:rsid w:val="ABBFD4B0"/>
    <w:rsid w:val="AEA776FC"/>
    <w:rsid w:val="AEFF1E3A"/>
    <w:rsid w:val="B7EB3919"/>
    <w:rsid w:val="DBAB2202"/>
    <w:rsid w:val="DBFF6181"/>
    <w:rsid w:val="DCF7A8A8"/>
    <w:rsid w:val="DFAF7ACF"/>
    <w:rsid w:val="DFD3DD68"/>
    <w:rsid w:val="E36DBDFE"/>
    <w:rsid w:val="EEBF6EA3"/>
    <w:rsid w:val="EF29790A"/>
    <w:rsid w:val="F1A4C3B5"/>
    <w:rsid w:val="F363F822"/>
    <w:rsid w:val="F77FA768"/>
    <w:rsid w:val="F7AF9E11"/>
    <w:rsid w:val="F7E7A27D"/>
    <w:rsid w:val="FA7A89B9"/>
    <w:rsid w:val="FB572A44"/>
    <w:rsid w:val="FBDFF35B"/>
    <w:rsid w:val="FD758910"/>
    <w:rsid w:val="FD7F433B"/>
    <w:rsid w:val="FDDFBF99"/>
    <w:rsid w:val="FFFE3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9"/>
    <w:semiHidden/>
    <w:unhideWhenUsed/>
    <w:qFormat/>
    <w:uiPriority w:val="0"/>
    <w:pPr>
      <w:keepNext/>
      <w:keepLines/>
      <w:spacing w:before="260" w:after="260" w:line="416" w:lineRule="auto"/>
      <w:outlineLvl w:val="2"/>
    </w:pPr>
    <w:rPr>
      <w:b/>
      <w:bCs/>
      <w:sz w:val="32"/>
      <w:szCs w:val="32"/>
    </w:rPr>
  </w:style>
  <w:style w:type="paragraph" w:styleId="3">
    <w:name w:val="heading 4"/>
    <w:basedOn w:val="1"/>
    <w:next w:val="1"/>
    <w:link w:val="16"/>
    <w:unhideWhenUsed/>
    <w:qFormat/>
    <w:uiPriority w:val="9"/>
    <w:pPr>
      <w:keepNext/>
      <w:keepLines/>
      <w:spacing w:before="80" w:after="40"/>
      <w:outlineLvl w:val="3"/>
    </w:pPr>
    <w:rPr>
      <w:rFonts w:eastAsia="宋体" w:cstheme="majorBidi"/>
      <w:b/>
      <w:szCs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link w:val="18"/>
    <w:qFormat/>
    <w:uiPriority w:val="0"/>
    <w:pPr>
      <w:tabs>
        <w:tab w:val="center" w:pos="4153"/>
        <w:tab w:val="right" w:pos="8306"/>
      </w:tabs>
      <w:snapToGrid w:val="0"/>
      <w:jc w:val="left"/>
    </w:pPr>
    <w:rPr>
      <w:sz w:val="18"/>
      <w:szCs w:val="18"/>
    </w:rPr>
  </w:style>
  <w:style w:type="paragraph" w:styleId="6">
    <w:name w:val="header"/>
    <w:basedOn w:val="1"/>
    <w:link w:val="17"/>
    <w:qFormat/>
    <w:uiPriority w:val="0"/>
    <w:pP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FollowedHyperlink"/>
    <w:basedOn w:val="10"/>
    <w:qFormat/>
    <w:uiPriority w:val="0"/>
    <w:rPr>
      <w:color w:val="800080"/>
      <w:u w:val="single"/>
    </w:rPr>
  </w:style>
  <w:style w:type="character" w:styleId="13">
    <w:name w:val="Hyperlink"/>
    <w:basedOn w:val="10"/>
    <w:qFormat/>
    <w:uiPriority w:val="0"/>
    <w:rPr>
      <w:color w:val="0000FF"/>
      <w:u w:val="single"/>
    </w:rPr>
  </w:style>
  <w:style w:type="paragraph" w:styleId="14">
    <w:name w:val="List Paragraph"/>
    <w:basedOn w:val="1"/>
    <w:qFormat/>
    <w:uiPriority w:val="34"/>
    <w:pPr>
      <w:ind w:left="720"/>
      <w:contextualSpacing/>
    </w:pPr>
  </w:style>
  <w:style w:type="paragraph" w:customStyle="1" w:styleId="15">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6">
    <w:name w:val="标题 4 字符"/>
    <w:basedOn w:val="10"/>
    <w:link w:val="3"/>
    <w:qFormat/>
    <w:uiPriority w:val="9"/>
    <w:rPr>
      <w:rFonts w:asciiTheme="minorHAnsi" w:hAnsiTheme="minorHAnsi" w:cstheme="majorBidi"/>
      <w:b/>
      <w:kern w:val="2"/>
      <w:sz w:val="21"/>
      <w:szCs w:val="28"/>
    </w:rPr>
  </w:style>
  <w:style w:type="character" w:customStyle="1" w:styleId="17">
    <w:name w:val="页眉 字符"/>
    <w:basedOn w:val="10"/>
    <w:link w:val="6"/>
    <w:qFormat/>
    <w:uiPriority w:val="0"/>
    <w:rPr>
      <w:rFonts w:asciiTheme="minorHAnsi" w:hAnsiTheme="minorHAnsi" w:eastAsiaTheme="minorEastAsia" w:cstheme="minorBidi"/>
      <w:kern w:val="2"/>
      <w:sz w:val="18"/>
      <w:szCs w:val="18"/>
    </w:rPr>
  </w:style>
  <w:style w:type="character" w:customStyle="1" w:styleId="18">
    <w:name w:val="页脚 字符"/>
    <w:basedOn w:val="10"/>
    <w:link w:val="5"/>
    <w:qFormat/>
    <w:uiPriority w:val="0"/>
    <w:rPr>
      <w:rFonts w:asciiTheme="minorHAnsi" w:hAnsiTheme="minorHAnsi" w:eastAsiaTheme="minorEastAsia" w:cstheme="minorBidi"/>
      <w:kern w:val="2"/>
      <w:sz w:val="18"/>
      <w:szCs w:val="18"/>
    </w:rPr>
  </w:style>
  <w:style w:type="character" w:customStyle="1" w:styleId="19">
    <w:name w:val="标题 3 字符"/>
    <w:basedOn w:val="10"/>
    <w:link w:val="2"/>
    <w:semiHidden/>
    <w:qFormat/>
    <w:uiPriority w:val="0"/>
    <w:rPr>
      <w:rFonts w:asciiTheme="minorHAnsi" w:hAnsiTheme="minorHAnsi" w:eastAsiaTheme="minorEastAsia" w:cstheme="minorBidi"/>
      <w:b/>
      <w:bCs/>
      <w:kern w:val="2"/>
      <w:sz w:val="32"/>
      <w:szCs w:val="32"/>
    </w:rPr>
  </w:style>
  <w:style w:type="paragraph" w:customStyle="1" w:styleId="20">
    <w:name w:val="Revision"/>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1">
    <w:name w:val="正文 A"/>
    <w:qFormat/>
    <w:uiPriority w:val="0"/>
    <w:pPr>
      <w:widowControl w:val="0"/>
      <w:jc w:val="both"/>
    </w:pPr>
    <w:rPr>
      <w:rFonts w:hint="eastAsia" w:ascii="Arial Black" w:hAnsi="Arial Black" w:eastAsia="Arial Black" w:cs="Arial Black"/>
      <w:color w:val="000000"/>
      <w:kern w:val="2"/>
      <w:sz w:val="21"/>
      <w:szCs w:val="21"/>
      <w:u w:color="000000"/>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4581</Words>
  <Characters>4597</Characters>
  <Lines>144</Lines>
  <Paragraphs>40</Paragraphs>
  <TotalTime>147</TotalTime>
  <ScaleCrop>false</ScaleCrop>
  <LinksUpToDate>false</LinksUpToDate>
  <CharactersWithSpaces>4598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2025-08-28T06:37:00Z</dcterms:created>
  <dc:creator>冀睿</dc:creator>
  <cp:lastModifiedBy>(世界，唯一］</cp:lastModifiedBy>
  <dcterms:modified xsi:type="dcterms:W3CDTF">2026-03-31T18:00:19Z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266AF85507D64DF58ED25FFD165EC46B_13</vt:lpwstr>
  </property>
  <property fmtid="{D5CDD505-2E9C-101B-9397-08002B2CF9AE}" pid="4" name="KSOTemplateDocerSaveRecord">
    <vt:lpwstr>eyJoZGlkIjoiYWY0YzlmMmQ4NDM1ZTQ3NWNlZDRkYjljYjMwYTFkYjgiLCJ1c2VySWQiOiI1MjA5MzEyNjYifQ==</vt:lpwstr>
  </property>
</Properties>
</file>