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rPr>
      </w:pPr>
      <w:r>
        <w:rPr>
          <w:rFonts w:hint="eastAsia"/>
          <w:sz w:val="28"/>
          <w:szCs w:val="28"/>
        </w:rPr>
        <w:t>NaI闪烁谱仪系列实验</w:t>
      </w:r>
    </w:p>
    <w:p>
      <w:pPr>
        <w:jc w:val="right"/>
        <w:rPr>
          <w:rFonts w:hint="eastAsia"/>
          <w:lang w:val="en-US" w:eastAsia="zh-CN"/>
        </w:rPr>
      </w:pPr>
      <w:r>
        <w:rPr>
          <w:rFonts w:hint="eastAsia"/>
          <w:lang w:val="en-US" w:eastAsia="zh-CN"/>
        </w:rPr>
        <w:t>------131120018 宋谦</w:t>
      </w:r>
    </w:p>
    <w:p>
      <w:pPr>
        <w:ind w:firstLine="420" w:firstLineChars="0"/>
        <w:jc w:val="both"/>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摘要：</w:t>
      </w:r>
      <w:r>
        <w:rPr>
          <w:rFonts w:hint="default" w:asciiTheme="minorHAnsi" w:hAnsiTheme="minorHAnsi" w:eastAsiaTheme="minorEastAsia" w:cstheme="minorBidi"/>
          <w:b/>
          <w:bCs/>
          <w:kern w:val="2"/>
          <w:sz w:val="21"/>
          <w:szCs w:val="24"/>
          <w:lang w:val="en-US" w:eastAsia="zh-CN" w:bidi="ar-SA"/>
        </w:rPr>
        <w:t>闪烁探测器是利用某些物质在射线作用下受激发光的特性来探测射线的仪器。它们的主要优点是：既能探测各种带电粒子，又能探测中性粒子；既能测量粒子强度，又能测量粒子能量；且探测效率高，分辨时间短。它在核物理研究和放射性同位素测量中得到广泛的应用。本实验目的是了解NaI闪烁谱仪的原理、特性与结构，掌握NaI闪烁谱仪的使用方法和—射线能谱的刻度，学会NaI闪烁谱仪的应用。</w:t>
      </w:r>
    </w:p>
    <w:p>
      <w:pPr>
        <w:widowControl w:val="0"/>
        <w:numPr>
          <w:numId w:val="0"/>
        </w:numPr>
        <w:jc w:val="left"/>
        <w:rPr>
          <w:rFonts w:hint="eastAsia"/>
          <w:lang w:val="en-US" w:eastAsia="zh-CN"/>
        </w:rPr>
      </w:pPr>
    </w:p>
    <w:p>
      <w:pPr>
        <w:jc w:val="left"/>
        <w:rPr>
          <w:rFonts w:hint="eastAsia"/>
          <w:b/>
          <w:bCs/>
          <w:sz w:val="24"/>
          <w:szCs w:val="24"/>
          <w:lang w:val="en-US" w:eastAsia="zh-CN"/>
        </w:rPr>
      </w:pPr>
      <w:r>
        <w:rPr>
          <w:rFonts w:hint="eastAsia"/>
          <w:b/>
          <w:bCs/>
          <w:sz w:val="24"/>
          <w:szCs w:val="24"/>
          <w:lang w:val="en-US" w:eastAsia="zh-CN"/>
        </w:rPr>
        <w:t>一、实验原理</w:t>
      </w:r>
    </w:p>
    <w:p>
      <w:pPr>
        <w:jc w:val="left"/>
        <w:rPr>
          <w:rFonts w:hint="eastAsia"/>
          <w:lang w:val="en-US" w:eastAsia="zh-CN"/>
        </w:rPr>
      </w:pPr>
      <w:r>
        <w:rPr>
          <w:rFonts w:hint="eastAsia"/>
          <w:lang w:val="en-US" w:eastAsia="zh-CN"/>
        </w:rPr>
        <w:t>1、闪烁能谱仪测量</w:t>
      </w:r>
      <w:r>
        <w:rPr>
          <w:rFonts w:hint="default"/>
          <w:lang w:val="en-US" w:eastAsia="zh-CN"/>
        </w:rPr>
        <w:t>γ能谱的原理</w:t>
      </w:r>
    </w:p>
    <w:p>
      <w:pPr>
        <w:jc w:val="left"/>
        <w:rPr>
          <w:rFonts w:hint="eastAsia"/>
          <w:lang w:val="en-US" w:eastAsia="zh-CN"/>
        </w:rPr>
      </w:pPr>
      <w:r>
        <w:rPr>
          <w:rFonts w:hint="eastAsia"/>
          <w:lang w:val="en-US" w:eastAsia="zh-CN"/>
        </w:rPr>
        <w:t>1）</w:t>
      </w:r>
      <w:r>
        <w:rPr>
          <w:rFonts w:hint="default"/>
          <w:lang w:val="en-US" w:eastAsia="zh-CN"/>
        </w:rPr>
        <w:t>闪烁体的发光机制</w:t>
      </w:r>
    </w:p>
    <w:p>
      <w:pPr>
        <w:ind w:firstLine="420" w:firstLineChars="0"/>
        <w:jc w:val="left"/>
        <w:rPr>
          <w:rFonts w:hint="eastAsia"/>
          <w:lang w:val="en-US" w:eastAsia="zh-CN"/>
        </w:rPr>
      </w:pPr>
      <w:r>
        <w:rPr>
          <w:rFonts w:hint="default"/>
          <w:lang w:val="en-US" w:eastAsia="zh-CN"/>
        </w:rPr>
        <w:t>纯粹的碘化钠晶体，其能带结构是在价带和导带之间有比较宽的禁带，如有带电粒子进人到闪烁体中，将引起后者产生电离或激发过程，即可能有电子从价带激发到导带或激发到激带，然后这些电子再退激到价带。退激的可能过程之一是发射光子，这种光子的能量还会使晶体中其它原子产生激发或电离，也就是光子可能被晶体吸收而不能被探测到，为此要在晶体中掺入少量的杂质原子（激活原子），如在碘化钠晶体中掺入铊原子，其关键作用是可以在低于导带和激带的禁带中形成一些杂质能级。这些杂质原子会捕获一些自由电子或激子到达杂质能级上，然后以发光的形式退激到价带，这就形成了闪烁过程的发光。</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2）γ</w:t>
      </w:r>
      <w:r>
        <w:rPr>
          <w:rFonts w:hint="default"/>
          <w:lang w:val="en-US" w:eastAsia="zh-CN"/>
        </w:rPr>
        <w:t>射线与物质的相互作用</w:t>
      </w:r>
    </w:p>
    <w:p>
      <w:pPr>
        <w:ind w:firstLine="420" w:firstLineChars="0"/>
        <w:jc w:val="left"/>
        <w:rPr>
          <w:rFonts w:hint="eastAsia"/>
          <w:lang w:val="en-US" w:eastAsia="zh-CN"/>
        </w:rPr>
      </w:pPr>
      <w:r>
        <w:rPr>
          <w:rFonts w:hint="eastAsia"/>
          <w:lang w:val="en-US" w:eastAsia="zh-CN"/>
        </w:rPr>
        <w:t>γ</w:t>
      </w:r>
      <w:r>
        <w:rPr>
          <w:rFonts w:hint="default"/>
          <w:lang w:val="en-US" w:eastAsia="zh-CN"/>
        </w:rPr>
        <w:t>射线光子与物质原子相互作用的机制主要有以下三种方式，如图</w:t>
      </w:r>
      <w:r>
        <w:rPr>
          <w:rFonts w:hint="eastAsia"/>
          <w:lang w:val="en-US" w:eastAsia="zh-CN"/>
        </w:rPr>
        <w:t>2-1</w:t>
      </w:r>
      <w:r>
        <w:rPr>
          <w:rFonts w:hint="default"/>
          <w:lang w:val="en-US" w:eastAsia="zh-CN"/>
        </w:rPr>
        <w:t>所示。</w:t>
      </w:r>
    </w:p>
    <w:p>
      <w:pPr>
        <w:jc w:val="left"/>
      </w:pPr>
      <w:r>
        <w:drawing>
          <wp:inline distT="0" distB="0" distL="114300" distR="114300">
            <wp:extent cx="1440180" cy="917575"/>
            <wp:effectExtent l="0" t="0" r="762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440180" cy="9175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729105" cy="940435"/>
            <wp:effectExtent l="0" t="0" r="44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729105" cy="9404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04670" cy="86804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804670" cy="86804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 xml:space="preserve">     光电效应                   康普顿散射               电子对效应</w:t>
      </w:r>
    </w:p>
    <w:p>
      <w:pPr>
        <w:jc w:val="center"/>
        <w:rPr>
          <w:rFonts w:hint="eastAsia"/>
          <w:lang w:val="en-US" w:eastAsia="zh-CN"/>
        </w:rPr>
      </w:pPr>
      <w:r>
        <w:rPr>
          <w:rFonts w:hint="eastAsia"/>
          <w:lang w:val="en-US" w:eastAsia="zh-CN"/>
        </w:rPr>
        <w:t>图2-1γ</w:t>
      </w:r>
      <w:r>
        <w:rPr>
          <w:rFonts w:hint="default"/>
          <w:lang w:val="en-US" w:eastAsia="zh-CN"/>
        </w:rPr>
        <w:t>射线与物质的相互作用</w:t>
      </w:r>
      <w:r>
        <w:rPr>
          <w:rFonts w:hint="eastAsia"/>
          <w:lang w:val="en-US" w:eastAsia="zh-CN"/>
        </w:rPr>
        <w:t>示意图</w:t>
      </w:r>
    </w:p>
    <w:p>
      <w:pPr>
        <w:jc w:val="center"/>
        <w:rPr>
          <w:rFonts w:hint="eastAsia"/>
          <w:lang w:val="en-US" w:eastAsia="zh-CN"/>
        </w:rPr>
      </w:pPr>
    </w:p>
    <w:p>
      <w:pPr>
        <w:jc w:val="left"/>
        <w:rPr>
          <w:rFonts w:hint="eastAsia"/>
          <w:lang w:val="en-US" w:eastAsia="zh-CN"/>
        </w:rPr>
      </w:pPr>
      <w:r>
        <w:rPr>
          <w:rFonts w:hint="eastAsia"/>
          <w:lang w:val="en-US" w:eastAsia="zh-CN"/>
        </w:rPr>
        <w:t>2、</w:t>
      </w:r>
      <w:r>
        <w:rPr>
          <w:rFonts w:hint="default"/>
          <w:lang w:val="en-US" w:eastAsia="zh-CN"/>
        </w:rPr>
        <w:t>NaI（Tl）单晶</w:t>
      </w:r>
      <w:r>
        <w:rPr>
          <w:rFonts w:hint="eastAsia"/>
          <w:lang w:val="en-US" w:eastAsia="zh-CN"/>
        </w:rPr>
        <w:t>γ</w:t>
      </w:r>
      <w:r>
        <w:rPr>
          <w:rFonts w:hint="default"/>
          <w:lang w:val="en-US" w:eastAsia="zh-CN"/>
        </w:rPr>
        <w:t>闪烁能谱仪的结构与性能</w:t>
      </w:r>
    </w:p>
    <w:p>
      <w:pPr>
        <w:numPr>
          <w:ilvl w:val="0"/>
          <w:numId w:val="1"/>
        </w:num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闪烁谱仪结构与工作原理</w:t>
      </w:r>
    </w:p>
    <w:p>
      <w:pPr>
        <w:numPr>
          <w:ilvl w:val="0"/>
          <w:numId w:val="0"/>
        </w:numPr>
        <w:ind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NaI闪烁谱仪结构如图所示。整个仪器由探头（包括闪烁体、光电倍增管、射极跟随器）</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高压电源，线性放大器、多道脉冲幅度分析器几部分组成。射线通过闪烁体时，闪烁体的发光强度与射线在闪烁体内损失的能量成正比。带电粒子通过闪烁体时，将引起大量的分子或原子的激发和电离，这些受激的分子或原子由激发态回到基态时就放出光子，不带电的射线现在闪烁体内产生光电子、康普顿电子及正、负电子对（当&gt;1.02MeV时），然后这些电子使闪烁体内的分子或原子激发和电离而发光。闪烁体发出的光子被闪烁体外的光反射层反射，会聚到光电倍增管的光电阴极上，打出光电子。光阴极上打出的光电子在光电倍增管中倍增出大量电子，最后为阳极吸收形成电压脉冲。每产生一个电压脉冲就表示有一个粒子进入探测器，由于电压脉冲幅度与粒子在闪烁体内消耗的能量（产生的光强）成正比，所以根据脉冲幅度的大小可以确定入射粒子的能量。利用脉冲幅度分析器可以测定入射射线的能谱</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 xml:space="preserve"> </w:t>
      </w:r>
    </w:p>
    <w:p>
      <w:pPr>
        <w:numPr>
          <w:ilvl w:val="0"/>
          <w:numId w:val="0"/>
        </w:numPr>
        <w:jc w:val="left"/>
        <w:rPr>
          <w:rFonts w:hint="eastAsia"/>
          <w:lang w:val="en-US" w:eastAsia="zh-CN"/>
        </w:rPr>
      </w:pPr>
    </w:p>
    <w:p>
      <w:pPr>
        <w:jc w:val="left"/>
        <w:rPr>
          <w:rFonts w:hint="eastAsia"/>
          <w:lang w:val="en-US" w:eastAsia="zh-CN"/>
        </w:rPr>
      </w:pPr>
      <w:r>
        <w:drawing>
          <wp:inline distT="0" distB="0" distL="114300" distR="114300">
            <wp:extent cx="4392295" cy="161925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392295" cy="161925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9-1-2</w:t>
      </w:r>
    </w:p>
    <w:p>
      <w:pPr>
        <w:jc w:val="left"/>
        <w:rPr>
          <w:rFonts w:hint="eastAsia"/>
          <w:lang w:val="en-US" w:eastAsia="zh-CN"/>
        </w:rPr>
      </w:pPr>
    </w:p>
    <w:p>
      <w:pPr>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2</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单道与多道脉冲幅度分析器</w:t>
      </w:r>
    </w:p>
    <w:p>
      <w:pPr>
        <w:jc w:val="left"/>
        <w:rPr>
          <w:rFonts w:hint="eastAsia"/>
          <w:lang w:val="en-US" w:eastAsia="zh-CN"/>
        </w:rPr>
      </w:pPr>
      <w:r>
        <w:rPr>
          <w:rFonts w:hint="eastAsia"/>
          <w:lang w:val="en-US" w:eastAsia="zh-CN"/>
        </w:rPr>
        <w:t>由于</w:t>
      </w:r>
      <w:r>
        <w:rPr>
          <w:rFonts w:hint="default"/>
          <w:lang w:val="en-US" w:eastAsia="zh-CN"/>
        </w:rPr>
        <w:t>γ射线与物质相互作用机制的差异，从探测器出来的脉冲幅度有大有小，单道脉冲幅度分析器就起从中“数出”某一幅度脉冲数目的作用。单道脉冲幅度分析器里有两个甄别电压V1（此电压可以连续调节）和V2，V1 和V2也称下、上甄别域，差值⊿V称为窗宽。这样，V1</w:t>
      </w:r>
      <w:r>
        <w:rPr>
          <w:rFonts w:hint="eastAsia"/>
          <w:lang w:val="en-US" w:eastAsia="zh-CN"/>
        </w:rPr>
        <w:t> </w:t>
      </w:r>
      <w:r>
        <w:rPr>
          <w:rFonts w:hint="default"/>
          <w:lang w:val="en-US" w:eastAsia="zh-CN"/>
        </w:rPr>
        <w:t>和V2就像一扇窗子，低于V1或高于V2的电压信号都被挡住，只有在V1和V2之间信号才能通过，形成输出脉冲。进行测量时，按⊿V连续改变V1值，就可获得全部能谱。多道脉冲幅度分析器的作用相当于几百个单道脉冲幅度分析器，一次测量可获得整个能谱，非常方便</w:t>
      </w:r>
      <w:r>
        <w:rPr>
          <w:rFonts w:hint="eastAsia"/>
          <w:lang w:val="en-US" w:eastAsia="zh-CN"/>
        </w:rPr>
        <w:t>。</w:t>
      </w:r>
    </w:p>
    <w:p>
      <w:pPr>
        <w:jc w:val="left"/>
        <w:rPr>
          <w:rFonts w:hint="eastAsia"/>
          <w:lang w:val="en-US" w:eastAsia="zh-CN"/>
        </w:rPr>
      </w:pPr>
    </w:p>
    <w:p>
      <w:pPr>
        <w:numPr>
          <w:ilvl w:val="0"/>
          <w:numId w:val="2"/>
        </w:numPr>
        <w:jc w:val="left"/>
        <w:rPr>
          <w:rFonts w:hint="default"/>
          <w:lang w:val="en-US" w:eastAsia="zh-CN"/>
        </w:rPr>
      </w:pPr>
      <w:r>
        <w:rPr>
          <w:rFonts w:hint="default"/>
          <w:lang w:val="en-US" w:eastAsia="zh-CN"/>
        </w:rPr>
        <w:t>NaI单晶γ闪烁能谱仪的主要指标</w:t>
      </w:r>
    </w:p>
    <w:p>
      <w:pPr>
        <w:numPr>
          <w:ilvl w:val="0"/>
          <w:numId w:val="0"/>
        </w:numPr>
        <w:jc w:val="left"/>
        <w:rPr>
          <w:rFonts w:hint="eastAsia"/>
          <w:lang w:val="en-US" w:eastAsia="zh-CN"/>
        </w:rPr>
      </w:pPr>
      <w:r>
        <w:rPr>
          <w:rFonts w:hint="default"/>
          <w:lang w:val="en-US" w:eastAsia="zh-CN"/>
        </w:rPr>
        <w:t>1）能量分辨率</w:t>
      </w:r>
    </w:p>
    <w:p>
      <w:pPr>
        <w:jc w:val="left"/>
        <w:rPr>
          <w:rFonts w:hint="default"/>
          <w:lang w:val="en-US" w:eastAsia="zh-CN"/>
        </w:rPr>
      </w:pPr>
      <w:r>
        <w:rPr>
          <w:rFonts w:hint="eastAsia"/>
          <w:lang w:val="en-US" w:eastAsia="zh-CN"/>
        </w:rPr>
        <w:t> </w:t>
      </w:r>
      <w:r>
        <w:rPr>
          <w:rFonts w:hint="eastAsia"/>
          <w:lang w:val="en-US" w:eastAsia="zh-CN"/>
        </w:rPr>
        <w:tab/>
      </w:r>
      <w:r>
        <w:rPr>
          <w:rFonts w:hint="default"/>
          <w:lang w:val="en-US" w:eastAsia="zh-CN"/>
        </w:rPr>
        <w:t>能量分辨率的定义是：</w:t>
      </w:r>
    </w:p>
    <w:p>
      <w:pPr>
        <w:jc w:val="left"/>
        <w:rPr>
          <w:rFonts w:hint="default"/>
          <w:lang w:val="en-US" w:eastAsia="zh-CN"/>
        </w:rPr>
      </w:pPr>
      <w:r>
        <w:rPr>
          <w:rFonts w:hint="eastAsia"/>
          <w:position w:val="-24"/>
          <w:lang w:val="en-US" w:eastAsia="zh-CN"/>
        </w:rPr>
        <w:object>
          <v:shape id="_x0000_i1025" o:spt="75" type="#_x0000_t75" style="height:31pt;width:76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ind w:firstLine="420" w:firstLineChars="0"/>
        <w:jc w:val="left"/>
        <w:rPr>
          <w:rFonts w:hint="eastAsia"/>
          <w:lang w:val="en-US" w:eastAsia="zh-CN"/>
        </w:rPr>
      </w:pPr>
      <w:r>
        <w:rPr>
          <w:rFonts w:hint="default"/>
          <w:lang w:val="en-US" w:eastAsia="zh-CN"/>
        </w:rPr>
        <w:t>由于脉冲幅度与能量有线性关系，并且脉冲幅度与多道道数成正比，故又可以写为</w:t>
      </w:r>
    </w:p>
    <w:p>
      <w:pPr>
        <w:jc w:val="left"/>
        <w:rPr>
          <w:rFonts w:hint="eastAsia"/>
          <w:lang w:val="en-US" w:eastAsia="zh-CN"/>
        </w:rPr>
      </w:pPr>
      <w:r>
        <w:rPr>
          <w:rFonts w:hint="eastAsia"/>
          <w:position w:val="-24"/>
          <w:lang w:val="en-US" w:eastAsia="zh-CN"/>
        </w:rPr>
        <w:object>
          <v:shape id="_x0000_i1026" o:spt="75" type="#_x0000_t75" style="height:31pt;width:85.95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p>
      <w:pPr>
        <w:jc w:val="left"/>
        <w:rPr>
          <w:rFonts w:hint="default"/>
          <w:lang w:val="en-US" w:eastAsia="zh-CN"/>
        </w:rPr>
      </w:pPr>
      <w:r>
        <w:rPr>
          <w:rFonts w:hint="default"/>
          <w:lang w:val="en-US" w:eastAsia="zh-CN"/>
        </w:rPr>
        <w:t>ΔCH为记数率极大值一半处的宽度（或称半宽度），CH为记数率极大处所在道数。</w:t>
      </w:r>
    </w:p>
    <w:p>
      <w:pPr>
        <w:ind w:firstLine="420" w:firstLineChars="0"/>
        <w:jc w:val="left"/>
        <w:rPr>
          <w:rFonts w:hint="default"/>
          <w:lang w:val="en-US" w:eastAsia="zh-CN"/>
        </w:rPr>
      </w:pPr>
      <w:r>
        <w:rPr>
          <w:rFonts w:hint="default"/>
          <w:lang w:val="en-US" w:eastAsia="zh-CN"/>
        </w:rPr>
        <w:t>显然，能量分辨率的数值越小，仪器分辨不同能量的本领就越高。</w:t>
      </w:r>
    </w:p>
    <w:p>
      <w:pPr>
        <w:ind w:firstLine="420" w:firstLineChars="0"/>
        <w:jc w:val="left"/>
        <w:rPr>
          <w:rFonts w:hint="eastAsia"/>
          <w:lang w:val="en-US" w:eastAsia="zh-CN"/>
        </w:rPr>
      </w:pPr>
    </w:p>
    <w:p>
      <w:pPr>
        <w:jc w:val="left"/>
        <w:rPr>
          <w:rFonts w:hint="default"/>
          <w:lang w:val="en-US" w:eastAsia="zh-CN"/>
        </w:rPr>
      </w:pPr>
      <w:r>
        <w:rPr>
          <w:rFonts w:hint="eastAsia"/>
          <w:lang w:val="en-US" w:eastAsia="zh-CN"/>
        </w:rPr>
        <w:t> </w:t>
      </w:r>
      <w:r>
        <w:rPr>
          <w:rFonts w:hint="default"/>
          <w:lang w:val="en-US" w:eastAsia="zh-CN"/>
        </w:rPr>
        <w:t>2）线性度与能量刻度</w:t>
      </w:r>
    </w:p>
    <w:p>
      <w:pPr>
        <w:ind w:firstLine="420" w:firstLineChars="0"/>
        <w:jc w:val="left"/>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利用闪烁谱仪作γ射线能量测定时，最基本的要求是在入射γ射线的能量和它产生</w:t>
      </w:r>
      <w:r>
        <w:rPr>
          <w:rFonts w:hint="eastAsia" w:asciiTheme="minorHAnsi" w:hAnsiTheme="minorHAnsi" w:eastAsiaTheme="minorEastAsia" w:cstheme="minorBidi"/>
          <w:kern w:val="2"/>
          <w:sz w:val="21"/>
          <w:szCs w:val="24"/>
          <w:lang w:val="en-US" w:eastAsia="zh-CN" w:bidi="ar-SA"/>
        </w:rPr>
        <w:t>的脉冲幅度</w:t>
      </w:r>
      <w:r>
        <w:rPr>
          <w:rFonts w:hint="default" w:asciiTheme="minorHAnsi" w:hAnsiTheme="minorHAnsi" w:eastAsiaTheme="minorEastAsia" w:cstheme="minorBidi"/>
          <w:kern w:val="2"/>
          <w:sz w:val="21"/>
          <w:szCs w:val="24"/>
          <w:lang w:val="en-US" w:eastAsia="zh-CN" w:bidi="ar-SA"/>
        </w:rPr>
        <w:t>（指全能峰的位置）之间有确定的关系；对于理想的闪烁谱仪，脉冲幅度与能量之间应呈线性关系；对于实际</w:t>
      </w:r>
      <w:r>
        <w:rPr>
          <w:rFonts w:hint="eastAsia" w:cstheme="minorBidi"/>
          <w:kern w:val="2"/>
          <w:sz w:val="21"/>
          <w:szCs w:val="24"/>
          <w:lang w:val="en-US" w:eastAsia="zh-CN" w:bidi="ar-SA"/>
        </w:rPr>
        <w:t>NaI</w:t>
      </w:r>
      <w:r>
        <w:rPr>
          <w:rFonts w:hint="default" w:asciiTheme="minorHAnsi" w:hAnsiTheme="minorHAnsi" w:eastAsiaTheme="minorEastAsia" w:cstheme="minorBidi"/>
          <w:kern w:val="2"/>
          <w:sz w:val="21"/>
          <w:szCs w:val="24"/>
          <w:lang w:val="en-US" w:eastAsia="zh-CN" w:bidi="ar-SA"/>
        </w:rPr>
        <w:t>闪烁谱仪在较宽的能量范围内（</w:t>
      </w:r>
      <w:r>
        <w:rPr>
          <w:rFonts w:hint="eastAsia" w:cstheme="minorBidi"/>
          <w:kern w:val="2"/>
          <w:sz w:val="21"/>
          <w:szCs w:val="24"/>
          <w:lang w:val="en-US" w:eastAsia="zh-CN" w:bidi="ar-SA"/>
        </w:rPr>
        <w:t>100KeV</w:t>
      </w:r>
      <w:r>
        <w:rPr>
          <w:rFonts w:hint="default" w:asciiTheme="minorHAnsi" w:hAnsiTheme="minorHAnsi" w:eastAsiaTheme="minorEastAsia" w:cstheme="minorBidi"/>
          <w:kern w:val="2"/>
          <w:sz w:val="21"/>
          <w:szCs w:val="24"/>
          <w:lang w:val="en-US" w:eastAsia="zh-CN" w:bidi="ar-SA"/>
        </w:rPr>
        <w:t>到</w:t>
      </w:r>
      <w:r>
        <w:rPr>
          <w:rFonts w:hint="eastAsia" w:cstheme="minorBidi"/>
          <w:kern w:val="2"/>
          <w:sz w:val="21"/>
          <w:szCs w:val="24"/>
          <w:lang w:val="en-US" w:eastAsia="zh-CN" w:bidi="ar-SA"/>
        </w:rPr>
        <w:t>1300keV</w:t>
      </w:r>
      <w:r>
        <w:rPr>
          <w:rFonts w:hint="default" w:asciiTheme="minorHAnsi" w:hAnsiTheme="minorHAnsi" w:eastAsiaTheme="minorEastAsia" w:cstheme="minorBidi"/>
          <w:kern w:val="2"/>
          <w:sz w:val="21"/>
          <w:szCs w:val="24"/>
          <w:lang w:val="en-US" w:eastAsia="zh-CN" w:bidi="ar-SA"/>
        </w:rPr>
        <w:t>）是近似线性的。这是利用该谱仪进行射线能量分析与判断未知放射性核素的重要依据。通常，在实验上利用系列γ标准源，测量相应全能量峰处的脉冲幅度，建立γ射线能量及其对应峰位的关系曲线，这条曲线即能量刻度曲线。典型的能量刻度曲线为不通过原点的一条直线</w:t>
      </w:r>
      <w:r>
        <w:rPr>
          <w:rFonts w:hint="eastAsia" w:cstheme="minorBidi"/>
          <w:kern w:val="2"/>
          <w:sz w:val="21"/>
          <w:szCs w:val="24"/>
          <w:lang w:val="en-US" w:eastAsia="zh-CN" w:bidi="ar-SA"/>
        </w:rPr>
        <w:t>，</w:t>
      </w:r>
    </w:p>
    <w:p>
      <w:pPr>
        <w:ind w:firstLine="420" w:firstLineChars="0"/>
        <w:jc w:val="cente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position w:val="-14"/>
          <w:sz w:val="21"/>
          <w:szCs w:val="24"/>
          <w:lang w:val="en-US" w:eastAsia="zh-CN" w:bidi="ar-SA"/>
        </w:rPr>
        <w:object>
          <v:shape id="_x0000_i1027" o:spt="75" type="#_x0000_t75" style="height:19pt;width:93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p>
    <w:p>
      <w:pPr>
        <w:ind w:firstLine="420" w:firstLineChars="0"/>
        <w:jc w:val="left"/>
        <w:rPr>
          <w:rFonts w:hint="eastAsia"/>
          <w:lang w:val="en-US" w:eastAsia="zh-CN"/>
        </w:rPr>
      </w:pPr>
      <w:r>
        <w:rPr>
          <w:rFonts w:hint="default" w:asciiTheme="minorHAnsi" w:hAnsiTheme="minorHAnsi" w:eastAsiaTheme="minorEastAsia" w:cstheme="minorBidi"/>
          <w:kern w:val="2"/>
          <w:sz w:val="21"/>
          <w:szCs w:val="24"/>
          <w:lang w:val="en-US" w:eastAsia="zh-CN" w:bidi="ar-SA"/>
        </w:rPr>
        <w:t>式中</w:t>
      </w:r>
      <w:r>
        <w:rPr>
          <w:rFonts w:hint="eastAsia" w:cstheme="minorBidi"/>
          <w:kern w:val="2"/>
          <w:sz w:val="21"/>
          <w:szCs w:val="24"/>
          <w:lang w:val="en-US" w:eastAsia="zh-CN" w:bidi="ar-SA"/>
        </w:rPr>
        <w:t>X</w:t>
      </w:r>
      <w:r>
        <w:rPr>
          <w:rFonts w:hint="default" w:asciiTheme="minorHAnsi" w:hAnsiTheme="minorHAnsi" w:eastAsiaTheme="minorEastAsia" w:cstheme="minorBidi"/>
          <w:kern w:val="2"/>
          <w:sz w:val="21"/>
          <w:szCs w:val="24"/>
          <w:lang w:val="en-US" w:eastAsia="zh-CN" w:bidi="ar-SA"/>
        </w:rPr>
        <w:t>p为全能峰峰位；Ｅ0为直线截距；Ｇ为增益（即单位脉冲幅度对应的能量）。能量刻度曲线可以选用标准源</w:t>
      </w:r>
      <w:r>
        <w:rPr>
          <w:rFonts w:hint="eastAsia" w:cstheme="minorBidi"/>
          <w:kern w:val="2"/>
          <w:sz w:val="21"/>
          <w:szCs w:val="24"/>
          <w:lang w:val="en-US" w:eastAsia="zh-CN" w:bidi="ar-SA"/>
        </w:rPr>
        <w:t>Cs-137</w:t>
      </w:r>
      <w:r>
        <w:rPr>
          <w:rFonts w:hint="default" w:asciiTheme="minorHAnsi" w:hAnsiTheme="minorHAnsi" w:eastAsiaTheme="minorEastAsia" w:cstheme="minorBidi"/>
          <w:kern w:val="2"/>
          <w:sz w:val="21"/>
          <w:szCs w:val="24"/>
          <w:lang w:val="en-US" w:eastAsia="zh-CN" w:bidi="ar-SA"/>
        </w:rPr>
        <w:t>（</w:t>
      </w:r>
      <w:r>
        <w:rPr>
          <w:rFonts w:hint="eastAsia" w:cstheme="minorBidi"/>
          <w:kern w:val="2"/>
          <w:sz w:val="21"/>
          <w:szCs w:val="24"/>
          <w:lang w:val="en-US" w:eastAsia="zh-CN" w:bidi="ar-SA"/>
        </w:rPr>
        <w:t>0.662MeV</w:t>
      </w:r>
      <w:r>
        <w:rPr>
          <w:rFonts w:hint="default" w:asciiTheme="minorHAnsi" w:hAnsiTheme="minorHAnsi" w:eastAsiaTheme="minorEastAsia" w:cstheme="minorBidi"/>
          <w:kern w:val="2"/>
          <w:sz w:val="21"/>
          <w:szCs w:val="24"/>
          <w:lang w:val="en-US" w:eastAsia="zh-CN" w:bidi="ar-SA"/>
        </w:rPr>
        <w:t>）和</w:t>
      </w:r>
      <w:r>
        <w:rPr>
          <w:rFonts w:hint="eastAsia" w:cstheme="minorBidi"/>
          <w:kern w:val="2"/>
          <w:sz w:val="21"/>
          <w:szCs w:val="24"/>
          <w:lang w:val="en-US" w:eastAsia="zh-CN" w:bidi="ar-SA"/>
        </w:rPr>
        <w:t>Co-60</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1.17</w:t>
      </w:r>
      <w:r>
        <w:rPr>
          <w:rFonts w:hint="default" w:asciiTheme="minorHAnsi" w:hAnsiTheme="minorHAnsi" w:eastAsiaTheme="minorEastAsia" w:cstheme="minorBidi"/>
          <w:kern w:val="2"/>
          <w:sz w:val="21"/>
          <w:szCs w:val="24"/>
          <w:lang w:val="en-US" w:eastAsia="zh-CN" w:bidi="ar-SA"/>
        </w:rPr>
        <w:t>、1.33</w:t>
      </w:r>
      <w:r>
        <w:rPr>
          <w:rFonts w:hint="eastAsia" w:cstheme="minorBidi"/>
          <w:kern w:val="2"/>
          <w:sz w:val="21"/>
          <w:szCs w:val="24"/>
          <w:lang w:val="en-US" w:eastAsia="zh-CN" w:bidi="ar-SA"/>
        </w:rPr>
        <w:t>MeV</w:t>
      </w:r>
      <w:r>
        <w:rPr>
          <w:rFonts w:hint="default" w:asciiTheme="minorHAnsi" w:hAnsiTheme="minorHAnsi" w:eastAsiaTheme="minorEastAsia" w:cstheme="minorBidi"/>
          <w:kern w:val="2"/>
          <w:sz w:val="21"/>
          <w:szCs w:val="24"/>
          <w:lang w:val="en-US" w:eastAsia="zh-CN" w:bidi="ar-SA"/>
        </w:rPr>
        <w:t>）来作。实验中欲得到较理想的线性，还要注意放大器和单道分析器甄别阈的线性，进行必要的检验与调整。此外，实验条件变化时应重新进行刻度。</w:t>
      </w:r>
    </w:p>
    <w:p>
      <w:pPr>
        <w:jc w:val="center"/>
        <w:rPr>
          <w:rFonts w:hint="eastAsia"/>
          <w:sz w:val="24"/>
          <w:szCs w:val="24"/>
          <w:lang w:val="en-US" w:eastAsia="zh-CN"/>
        </w:rPr>
      </w:pPr>
      <w:r>
        <w:rPr>
          <w:rFonts w:hint="eastAsia"/>
          <w:sz w:val="24"/>
          <w:szCs w:val="24"/>
          <w:lang w:val="en-US" w:eastAsia="zh-CN"/>
        </w:rPr>
        <w:t>实验一NaI闪烁谱仪</w:t>
      </w:r>
    </w:p>
    <w:p>
      <w:pPr>
        <w:jc w:val="left"/>
        <w:rPr>
          <w:rFonts w:hint="eastAsia"/>
          <w:b/>
          <w:bCs/>
          <w:sz w:val="24"/>
          <w:szCs w:val="24"/>
          <w:lang w:val="en-US" w:eastAsia="zh-CN"/>
        </w:rPr>
      </w:pPr>
      <w:r>
        <w:rPr>
          <w:rFonts w:hint="eastAsia"/>
          <w:b/>
          <w:bCs/>
          <w:sz w:val="24"/>
          <w:szCs w:val="24"/>
          <w:lang w:val="en-US" w:eastAsia="zh-CN"/>
        </w:rPr>
        <w:t>一、实验目的</w:t>
      </w:r>
    </w:p>
    <w:p>
      <w:pPr>
        <w:numPr>
          <w:ilvl w:val="0"/>
          <w:numId w:val="3"/>
        </w:numPr>
        <w:jc w:val="left"/>
        <w:rPr>
          <w:rFonts w:hint="eastAsia"/>
          <w:lang w:val="en-US" w:eastAsia="zh-CN"/>
        </w:rPr>
      </w:pPr>
      <w:r>
        <w:rPr>
          <w:rFonts w:hint="eastAsia"/>
          <w:lang w:val="en-US" w:eastAsia="zh-CN"/>
        </w:rPr>
        <w:t>了解NaI闪烁谱仪的几个基本性能</w:t>
      </w:r>
    </w:p>
    <w:p>
      <w:pPr>
        <w:numPr>
          <w:ilvl w:val="0"/>
          <w:numId w:val="3"/>
        </w:numPr>
        <w:jc w:val="left"/>
        <w:rPr>
          <w:rFonts w:hint="eastAsia"/>
          <w:lang w:val="en-US" w:eastAsia="zh-CN"/>
        </w:rPr>
      </w:pPr>
      <w:r>
        <w:rPr>
          <w:rFonts w:hint="eastAsia"/>
          <w:lang w:val="en-US" w:eastAsia="zh-CN"/>
        </w:rPr>
        <w:t>学会正确使用NaI闪烁谱仪</w:t>
      </w:r>
    </w:p>
    <w:p>
      <w:pPr>
        <w:numPr>
          <w:ilvl w:val="0"/>
          <w:numId w:val="3"/>
        </w:numPr>
        <w:jc w:val="left"/>
        <w:rPr>
          <w:rFonts w:hint="eastAsia"/>
          <w:lang w:val="en-US" w:eastAsia="zh-CN"/>
        </w:rPr>
      </w:pPr>
      <w:r>
        <w:rPr>
          <w:rFonts w:hint="eastAsia"/>
          <w:lang w:val="en-US" w:eastAsia="zh-CN"/>
        </w:rPr>
        <w:t>了解并验证原子核衰变一级放射性计数的统计规律</w:t>
      </w:r>
    </w:p>
    <w:p>
      <w:pPr>
        <w:numPr>
          <w:ilvl w:val="0"/>
          <w:numId w:val="0"/>
        </w:numPr>
        <w:jc w:val="left"/>
        <w:rPr>
          <w:rFonts w:hint="eastAsia"/>
          <w:b/>
          <w:bCs/>
          <w:lang w:val="en-US" w:eastAsia="zh-CN"/>
        </w:rPr>
      </w:pPr>
    </w:p>
    <w:p>
      <w:pPr>
        <w:numPr>
          <w:ilvl w:val="0"/>
          <w:numId w:val="4"/>
        </w:numPr>
        <w:jc w:val="left"/>
        <w:rPr>
          <w:rFonts w:hint="eastAsia"/>
          <w:b/>
          <w:bCs/>
          <w:sz w:val="24"/>
          <w:szCs w:val="24"/>
          <w:lang w:val="en-US" w:eastAsia="zh-CN"/>
        </w:rPr>
      </w:pPr>
      <w:r>
        <w:rPr>
          <w:rFonts w:hint="eastAsia"/>
          <w:b/>
          <w:bCs/>
          <w:sz w:val="24"/>
          <w:szCs w:val="24"/>
          <w:lang w:val="en-US" w:eastAsia="zh-CN"/>
        </w:rPr>
        <w:t>实验原理</w:t>
      </w:r>
    </w:p>
    <w:p>
      <w:pPr>
        <w:numPr>
          <w:ilvl w:val="0"/>
          <w:numId w:val="0"/>
        </w:numPr>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1、</w:t>
      </w:r>
      <w:r>
        <w:rPr>
          <w:rFonts w:hint="default" w:asciiTheme="minorHAnsi" w:hAnsiTheme="minorHAnsi" w:eastAsiaTheme="minorEastAsia" w:cstheme="minorBidi"/>
          <w:kern w:val="2"/>
          <w:sz w:val="21"/>
          <w:szCs w:val="24"/>
          <w:lang w:val="en-US" w:eastAsia="zh-CN" w:bidi="ar-SA"/>
        </w:rPr>
        <w:t>核衰变的统计规律</w:t>
      </w:r>
      <w:r>
        <w:rPr>
          <w:rFonts w:hint="eastAsia" w:asciiTheme="minorHAnsi" w:hAnsiTheme="minorHAnsi" w:eastAsiaTheme="minorEastAsia" w:cstheme="minorBidi"/>
          <w:kern w:val="2"/>
          <w:sz w:val="21"/>
          <w:szCs w:val="24"/>
          <w:lang w:val="en-US" w:eastAsia="zh-CN" w:bidi="ar-SA"/>
        </w:rPr>
        <w:t xml:space="preserve">  </w:t>
      </w:r>
    </w:p>
    <w:p>
      <w:pPr>
        <w:numPr>
          <w:ilvl w:val="0"/>
          <w:numId w:val="0"/>
        </w:numPr>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在重复的放射性测量中，即使保持完全相同的实验条件（例如放射源的半衰期足够长，在实验时间内可以认为其活度基本上没有变化；源与探测器的相对位置始终保持不变；每次</w:t>
      </w:r>
      <w:r>
        <w:rPr>
          <w:rFonts w:hint="eastAsia" w:asciiTheme="minorHAnsi" w:hAnsiTheme="minorHAnsi" w:eastAsiaTheme="minorEastAsia" w:cstheme="minorBidi"/>
          <w:kern w:val="2"/>
          <w:sz w:val="21"/>
          <w:szCs w:val="24"/>
          <w:lang w:val="en-US" w:eastAsia="zh-CN" w:bidi="ar-SA"/>
        </w:rPr>
        <w:t>测量时间不变；测量仪器足够精确，不会产生其他的附加误差等）</w:t>
      </w:r>
      <w:r>
        <w:rPr>
          <w:rFonts w:hint="default" w:asciiTheme="minorHAnsi" w:hAnsiTheme="minorHAnsi" w:eastAsiaTheme="minorEastAsia" w:cstheme="minorBidi"/>
          <w:kern w:val="2"/>
          <w:sz w:val="21"/>
          <w:szCs w:val="24"/>
          <w:lang w:val="en-US" w:eastAsia="zh-CN" w:bidi="ar-SA"/>
        </w:rPr>
        <w:t>，每次的测量结果并不完全相同，而是围绕着其平均值上下涨落，有时甚至有较大的差别。这种现象就叫做放射性计数的统计性。放射性计数的这种统计性反映了放射性原子核衰变本身固有的特性，与使用的测量仪器及技术无关。</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放射性原子核衰变的统计分布可以根据数理统计分布的理论来推导。放射性原子核衰变的过程是一个相互独立彼此无关的过程，即每一个原子核的衰变是完全独立的，和别的原子核是否衰变没有关系，而且哪一个原子核先衰变，哪一个原子核后衰变也是纯属偶然的，并无一定的次序，因此放射性原子核的衰变可以看成是一种伯努里实验问题。设在t=0时，放射性原子核的总数是</w:t>
      </w:r>
      <w:r>
        <w:rPr>
          <w:rFonts w:hint="eastAsia" w:cstheme="minorBidi"/>
          <w:kern w:val="2"/>
          <w:sz w:val="21"/>
          <w:szCs w:val="24"/>
          <w:lang w:val="en-US" w:eastAsia="zh-CN" w:bidi="ar-SA"/>
        </w:rPr>
        <w:t>N</w:t>
      </w:r>
      <w:r>
        <w:rPr>
          <w:rFonts w:hint="eastAsia" w:cstheme="minorBidi"/>
          <w:kern w:val="2"/>
          <w:sz w:val="21"/>
          <w:szCs w:val="24"/>
          <w:vertAlign w:val="subscript"/>
          <w:lang w:val="en-US" w:eastAsia="zh-CN" w:bidi="ar-SA"/>
        </w:rPr>
        <w:t>0</w:t>
      </w:r>
      <w:r>
        <w:rPr>
          <w:rFonts w:hint="default" w:asciiTheme="minorHAnsi" w:hAnsiTheme="minorHAnsi" w:eastAsiaTheme="minorEastAsia" w:cstheme="minorBidi"/>
          <w:kern w:val="2"/>
          <w:sz w:val="21"/>
          <w:szCs w:val="24"/>
          <w:lang w:val="en-US" w:eastAsia="zh-CN" w:bidi="ar-SA"/>
        </w:rPr>
        <w:t>，在t时间内将有一部分核发生了衰变。已知任何一个核在t时间内衰变的概率为</w:t>
      </w:r>
      <w:r>
        <w:rPr>
          <w:rFonts w:hint="default" w:asciiTheme="minorHAnsi" w:hAnsiTheme="minorHAnsi" w:eastAsiaTheme="minorEastAsia" w:cstheme="minorBidi"/>
          <w:kern w:val="2"/>
          <w:position w:val="-10"/>
          <w:sz w:val="21"/>
          <w:szCs w:val="24"/>
          <w:lang w:val="en-US" w:eastAsia="zh-CN" w:bidi="ar-SA"/>
        </w:rPr>
        <w:object>
          <v:shape id="_x0000_i1028" o:spt="75" type="#_x0000_t75" style="height:18pt;width:54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default" w:asciiTheme="minorHAnsi" w:hAnsiTheme="minorHAnsi" w:eastAsiaTheme="minorEastAsia" w:cstheme="minorBidi"/>
          <w:kern w:val="2"/>
          <w:sz w:val="21"/>
          <w:szCs w:val="24"/>
          <w:lang w:val="en-US" w:eastAsia="zh-CN" w:bidi="ar-SA"/>
        </w:rPr>
        <w:t>，不衰变的概率为</w:t>
      </w:r>
      <w:r>
        <w:rPr>
          <w:rFonts w:hint="default" w:asciiTheme="minorHAnsi" w:hAnsiTheme="minorHAnsi" w:eastAsiaTheme="minorEastAsia" w:cstheme="minorBidi"/>
          <w:kern w:val="2"/>
          <w:position w:val="-10"/>
          <w:sz w:val="21"/>
          <w:szCs w:val="24"/>
          <w:lang w:val="en-US" w:eastAsia="zh-CN" w:bidi="ar-SA"/>
        </w:rPr>
        <w:object>
          <v:shape id="_x0000_i1029" o:spt="75" type="#_x0000_t75" style="height:18pt;width:73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position w:val="-6"/>
          <w:sz w:val="21"/>
          <w:szCs w:val="24"/>
          <w:lang w:val="en-US" w:eastAsia="zh-CN" w:bidi="ar-SA"/>
        </w:rPr>
        <w:object>
          <v:shape id="_x0000_i1030" o:spt="75" type="#_x0000_t75" style="height:13.95pt;width:11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heme="minorHAnsi" w:hAnsiTheme="minorHAnsi" w:eastAsiaTheme="minorEastAsia" w:cstheme="minorBidi"/>
          <w:kern w:val="2"/>
          <w:sz w:val="21"/>
          <w:szCs w:val="24"/>
          <w:lang w:val="en-US" w:eastAsia="zh-CN" w:bidi="ar-SA"/>
        </w:rPr>
        <w:t>是该放射性原子核的衰变常数。利用二项式分布可以得到在t时间内有n个核发生衰变的概率</w:t>
      </w:r>
      <w:r>
        <w:rPr>
          <w:rFonts w:hint="eastAsia" w:cstheme="minorBidi"/>
          <w:kern w:val="2"/>
          <w:sz w:val="21"/>
          <w:szCs w:val="24"/>
          <w:lang w:val="en-US" w:eastAsia="zh-CN" w:bidi="ar-SA"/>
        </w:rPr>
        <w:t>p(n)</w:t>
      </w:r>
      <w:r>
        <w:rPr>
          <w:rFonts w:hint="default" w:asciiTheme="minorHAnsi" w:hAnsiTheme="minorHAnsi" w:eastAsiaTheme="minorEastAsia" w:cstheme="minorBidi"/>
          <w:kern w:val="2"/>
          <w:sz w:val="21"/>
          <w:szCs w:val="24"/>
          <w:lang w:val="en-US" w:eastAsia="zh-CN" w:bidi="ar-SA"/>
        </w:rPr>
        <w:t>为</w:t>
      </w:r>
    </w:p>
    <w:p>
      <w:pPr>
        <w:numPr>
          <w:ilvl w:val="0"/>
          <w:numId w:val="0"/>
        </w:numPr>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position w:val="-30"/>
          <w:sz w:val="21"/>
          <w:szCs w:val="24"/>
          <w:lang w:val="en-US" w:eastAsia="zh-CN" w:bidi="ar-SA"/>
        </w:rPr>
        <w:object>
          <v:shape id="_x0000_i1031" o:spt="75" type="#_x0000_t75" style="height:34pt;width:182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p>
    <w:p>
      <w:pPr>
        <w:numPr>
          <w:ilvl w:val="0"/>
          <w:numId w:val="0"/>
        </w:numPr>
        <w:jc w:val="left"/>
        <w:rPr>
          <w:rFonts w:hint="eastAsia" w:cstheme="minorBidi"/>
          <w:kern w:val="2"/>
          <w:sz w:val="21"/>
          <w:szCs w:val="24"/>
          <w:lang w:val="en-US" w:eastAsia="zh-CN" w:bidi="ar-SA"/>
        </w:rPr>
      </w:pPr>
      <w:r>
        <w:rPr>
          <w:rFonts w:hint="eastAsia" w:cstheme="minorBidi"/>
          <w:kern w:val="2"/>
          <w:sz w:val="21"/>
          <w:szCs w:val="24"/>
          <w:lang w:val="en-US" w:eastAsia="zh-CN" w:bidi="ar-SA"/>
        </w:rPr>
        <w:t>在t时间内，衰变掉的粒子平均数为</w:t>
      </w:r>
    </w:p>
    <w:p>
      <w:pPr>
        <w:numPr>
          <w:ilvl w:val="0"/>
          <w:numId w:val="0"/>
        </w:numPr>
        <w:jc w:val="center"/>
        <w:rPr>
          <w:rFonts w:hint="eastAsia" w:cstheme="minorBidi"/>
          <w:kern w:val="2"/>
          <w:position w:val="-12"/>
          <w:sz w:val="21"/>
          <w:szCs w:val="24"/>
          <w:lang w:val="en-US" w:eastAsia="zh-CN" w:bidi="ar-SA"/>
        </w:rPr>
      </w:pPr>
      <w:r>
        <w:rPr>
          <w:rFonts w:hint="eastAsia" w:cstheme="minorBidi"/>
          <w:kern w:val="2"/>
          <w:position w:val="-12"/>
          <w:sz w:val="21"/>
          <w:szCs w:val="24"/>
          <w:lang w:val="en-US" w:eastAsia="zh-CN" w:bidi="ar-SA"/>
        </w:rPr>
        <w:object>
          <v:shape id="_x0000_i1032" o:spt="75" type="#_x0000_t75" style="height:19pt;width:85.95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p>
    <w:p>
      <w:pPr>
        <w:numPr>
          <w:ilvl w:val="0"/>
          <w:numId w:val="0"/>
        </w:numPr>
        <w:jc w:val="both"/>
        <w:rPr>
          <w:rFonts w:hint="eastAsia" w:cstheme="minorBidi"/>
          <w:kern w:val="2"/>
          <w:position w:val="-12"/>
          <w:sz w:val="21"/>
          <w:szCs w:val="24"/>
          <w:lang w:val="en-US" w:eastAsia="zh-CN" w:bidi="ar-SA"/>
        </w:rPr>
      </w:pPr>
      <w:r>
        <w:rPr>
          <w:rFonts w:hint="eastAsia" w:cstheme="minorBidi"/>
          <w:kern w:val="2"/>
          <w:position w:val="-12"/>
          <w:sz w:val="21"/>
          <w:szCs w:val="24"/>
          <w:lang w:val="en-US" w:eastAsia="zh-CN" w:bidi="ar-SA"/>
        </w:rPr>
        <w:t>其相应的均方差为</w:t>
      </w:r>
    </w:p>
    <w:p>
      <w:pPr>
        <w:numPr>
          <w:ilvl w:val="0"/>
          <w:numId w:val="0"/>
        </w:numPr>
        <w:jc w:val="center"/>
        <w:rPr>
          <w:rFonts w:hint="eastAsia" w:cstheme="minorBidi"/>
          <w:kern w:val="2"/>
          <w:position w:val="-12"/>
          <w:sz w:val="21"/>
          <w:szCs w:val="24"/>
          <w:lang w:val="en-US" w:eastAsia="zh-CN" w:bidi="ar-SA"/>
        </w:rPr>
      </w:pPr>
      <w:r>
        <w:rPr>
          <w:rFonts w:hint="eastAsia" w:cstheme="minorBidi"/>
          <w:kern w:val="2"/>
          <w:position w:val="-14"/>
          <w:sz w:val="21"/>
          <w:szCs w:val="24"/>
          <w:lang w:val="en-US" w:eastAsia="zh-CN" w:bidi="ar-SA"/>
        </w:rPr>
        <w:object>
          <v:shape id="_x0000_i1036" o:spt="75" type="#_x0000_t75" style="height:28pt;width:173pt;" o:ole="t" filled="f" o:preferrelative="t" stroked="f" coordsize="21600,21600">
            <v:fill on="f" focussize="0,0"/>
            <v:stroke on="f"/>
            <v:imagedata r:id="rId25" o:title=""/>
            <o:lock v:ext="edit" aspectratio="t"/>
            <w10:wrap type="none"/>
            <w10:anchorlock/>
          </v:shape>
          <o:OLEObject Type="Embed" ProgID="Equation.KSEE3" ShapeID="_x0000_i1036" DrawAspect="Content" ObjectID="_1468075733" r:id="rId24">
            <o:LockedField>false</o:LockedField>
          </o:OLEObject>
        </w:object>
      </w:r>
    </w:p>
    <w:p>
      <w:pPr>
        <w:numPr>
          <w:ilvl w:val="0"/>
          <w:numId w:val="0"/>
        </w:numPr>
        <w:jc w:val="both"/>
        <w:rPr>
          <w:rFonts w:hint="eastAsia" w:cstheme="minorBidi"/>
          <w:kern w:val="2"/>
          <w:position w:val="-12"/>
          <w:sz w:val="21"/>
          <w:szCs w:val="24"/>
          <w:lang w:val="en-US" w:eastAsia="zh-CN" w:bidi="ar-SA"/>
        </w:rPr>
      </w:pPr>
      <w:r>
        <w:rPr>
          <w:rFonts w:hint="eastAsia" w:cstheme="minorBidi"/>
          <w:kern w:val="2"/>
          <w:position w:val="-12"/>
          <w:sz w:val="21"/>
          <w:szCs w:val="24"/>
          <w:lang w:val="en-US" w:eastAsia="zh-CN" w:bidi="ar-SA"/>
        </w:rPr>
        <w:t>假如</w:t>
      </w:r>
      <w:r>
        <w:rPr>
          <w:rFonts w:hint="eastAsia" w:cstheme="minorBidi"/>
          <w:kern w:val="2"/>
          <w:position w:val="-6"/>
          <w:sz w:val="21"/>
          <w:szCs w:val="24"/>
          <w:lang w:val="en-US" w:eastAsia="zh-CN" w:bidi="ar-SA"/>
        </w:rPr>
        <w:object>
          <v:shape id="_x0000_i1039" o:spt="75" type="#_x0000_t75" style="height:13.95pt;width:31.95pt;" o:ole="t" filled="f" o:preferrelative="t" stroked="f" coordsize="21600,21600">
            <v:path/>
            <v:fill on="f" focussize="0,0"/>
            <v:stroke on="f"/>
            <v:imagedata r:id="rId27" o:title=""/>
            <o:lock v:ext="edit" aspectratio="t"/>
            <w10:wrap type="none"/>
            <w10:anchorlock/>
          </v:shape>
          <o:OLEObject Type="Embed" ProgID="Equation.KSEE3" ShapeID="_x0000_i1039" DrawAspect="Content" ObjectID="_1468075734" r:id="rId26">
            <o:LockedField>false</o:LockedField>
          </o:OLEObject>
        </w:object>
      </w:r>
      <w:r>
        <w:rPr>
          <w:rFonts w:hint="eastAsia" w:cstheme="minorBidi"/>
          <w:kern w:val="2"/>
          <w:position w:val="-12"/>
          <w:sz w:val="21"/>
          <w:szCs w:val="24"/>
          <w:lang w:val="en-US" w:eastAsia="zh-CN" w:bidi="ar-SA"/>
        </w:rPr>
        <w:t>，即时间t远比半衰期小，</w:t>
      </w:r>
      <w:r>
        <w:rPr>
          <w:rFonts w:hint="eastAsia" w:cstheme="minorBidi"/>
          <w:kern w:val="2"/>
          <w:position w:val="-8"/>
          <w:sz w:val="21"/>
          <w:szCs w:val="24"/>
          <w:lang w:val="en-US" w:eastAsia="zh-CN" w:bidi="ar-SA"/>
        </w:rPr>
        <w:object>
          <v:shape id="_x0000_i1040" o:spt="75" type="#_x0000_t75" style="height:18pt;width:42pt;" o:ole="t" filled="f" o:preferrelative="t" stroked="f" coordsize="21600,21600">
            <v:fill on="f" focussize="0,0"/>
            <v:stroke on="f"/>
            <v:imagedata r:id="rId29" o:title=""/>
            <o:lock v:ext="edit" aspectratio="t"/>
            <w10:wrap type="none"/>
            <w10:anchorlock/>
          </v:shape>
          <o:OLEObject Type="Embed" ProgID="Equation.KSEE3" ShapeID="_x0000_i1040" DrawAspect="Content" ObjectID="_1468075735" r:id="rId28">
            <o:LockedField>false</o:LockedField>
          </o:OLEObject>
        </w:object>
      </w:r>
    </w:p>
    <w:p>
      <w:pPr>
        <w:numPr>
          <w:ilvl w:val="0"/>
          <w:numId w:val="0"/>
        </w:numPr>
        <w:jc w:val="both"/>
        <w:rPr>
          <w:rFonts w:hint="eastAsia" w:cstheme="minorBidi"/>
          <w:kern w:val="2"/>
          <w:position w:val="-12"/>
          <w:sz w:val="21"/>
          <w:szCs w:val="24"/>
          <w:lang w:val="en-US" w:eastAsia="zh-CN" w:bidi="ar-SA"/>
        </w:rPr>
      </w:pPr>
      <w:r>
        <w:rPr>
          <w:rFonts w:hint="eastAsia" w:cstheme="minorBidi"/>
          <w:kern w:val="2"/>
          <w:position w:val="-12"/>
          <w:sz w:val="21"/>
          <w:szCs w:val="24"/>
          <w:lang w:val="en-US" w:eastAsia="zh-CN" w:bidi="ar-SA"/>
        </w:rPr>
        <w:t>当m&gt;20时，泊松分布一半就可以用正太分布来代替</w:t>
      </w:r>
    </w:p>
    <w:p>
      <w:pPr>
        <w:numPr>
          <w:ilvl w:val="0"/>
          <w:numId w:val="0"/>
        </w:numPr>
        <w:jc w:val="center"/>
        <w:rPr>
          <w:rFonts w:hint="eastAsia" w:cstheme="minorBidi"/>
          <w:kern w:val="2"/>
          <w:sz w:val="21"/>
          <w:szCs w:val="24"/>
          <w:lang w:val="en-US" w:eastAsia="zh-CN" w:bidi="ar-SA"/>
        </w:rPr>
      </w:pPr>
      <w:r>
        <w:rPr>
          <w:rFonts w:hint="eastAsia" w:cstheme="minorBidi"/>
          <w:kern w:val="2"/>
          <w:position w:val="-28"/>
          <w:sz w:val="21"/>
          <w:szCs w:val="24"/>
          <w:lang w:val="en-US" w:eastAsia="zh-CN" w:bidi="ar-SA"/>
        </w:rPr>
        <w:object>
          <v:shape id="_x0000_i1041" o:spt="75" type="#_x0000_t75" style="height:38pt;width:106pt;" o:ole="t" filled="f" o:preferrelative="t" stroked="f" coordsize="21600,21600">
            <v:fill on="f" focussize="0,0"/>
            <v:stroke on="f"/>
            <v:imagedata r:id="rId31" o:title=""/>
            <o:lock v:ext="edit" aspectratio="t"/>
            <w10:wrap type="none"/>
            <w10:anchorlock/>
          </v:shape>
          <o:OLEObject Type="Embed" ProgID="Equation.KSEE3" ShapeID="_x0000_i1041" DrawAspect="Content" ObjectID="_1468075736" r:id="rId30">
            <o:LockedField>false</o:LockedField>
          </o:OLEObject>
        </w:object>
      </w:r>
    </w:p>
    <w:p>
      <w:pPr>
        <w:numPr>
          <w:ilvl w:val="0"/>
          <w:numId w:val="4"/>
        </w:numPr>
        <w:jc w:val="left"/>
        <w:rPr>
          <w:rFonts w:hint="eastAsia"/>
          <w:b/>
          <w:bCs/>
          <w:sz w:val="24"/>
          <w:szCs w:val="24"/>
          <w:lang w:val="en-US" w:eastAsia="zh-CN"/>
        </w:rPr>
      </w:pPr>
      <w:r>
        <w:rPr>
          <w:rFonts w:hint="eastAsia"/>
          <w:b/>
          <w:bCs/>
          <w:sz w:val="24"/>
          <w:szCs w:val="24"/>
          <w:lang w:val="en-US" w:eastAsia="zh-CN"/>
        </w:rPr>
        <w:t>实验内容</w:t>
      </w:r>
    </w:p>
    <w:p>
      <w:pPr>
        <w:numPr>
          <w:ilvl w:val="0"/>
          <w:numId w:val="5"/>
        </w:numPr>
        <w:jc w:val="left"/>
        <w:rPr>
          <w:rFonts w:hint="eastAsia"/>
          <w:lang w:val="en-US" w:eastAsia="zh-CN"/>
        </w:rPr>
      </w:pPr>
      <w:r>
        <w:rPr>
          <w:rFonts w:hint="eastAsia"/>
          <w:lang w:val="en-US" w:eastAsia="zh-CN"/>
        </w:rPr>
        <w:t>熟悉谱仪各组建正确使用方法，并把各组建正确无误地连接起来。</w:t>
      </w:r>
    </w:p>
    <w:p>
      <w:pPr>
        <w:numPr>
          <w:ilvl w:val="0"/>
          <w:numId w:val="5"/>
        </w:numPr>
        <w:jc w:val="left"/>
        <w:rPr>
          <w:rFonts w:hint="eastAsia"/>
          <w:lang w:val="en-US" w:eastAsia="zh-CN"/>
        </w:rPr>
      </w:pPr>
      <w:r>
        <w:rPr>
          <w:rFonts w:hint="eastAsia"/>
          <w:lang w:val="en-US" w:eastAsia="zh-CN"/>
        </w:rPr>
        <w:t>按各个部件操作规程，启动各部件（高压电源最后启动），检查各部件工作是否正常。</w:t>
      </w:r>
    </w:p>
    <w:p>
      <w:pPr>
        <w:numPr>
          <w:ilvl w:val="0"/>
          <w:numId w:val="5"/>
        </w:numPr>
        <w:jc w:val="left"/>
        <w:rPr>
          <w:rFonts w:hint="eastAsia"/>
          <w:lang w:val="en-US" w:eastAsia="zh-CN"/>
        </w:rPr>
      </w:pPr>
      <w:r>
        <w:rPr>
          <w:rFonts w:hint="eastAsia"/>
          <w:lang w:val="en-US" w:eastAsia="zh-CN"/>
        </w:rPr>
        <w:t>调节光电倍增管工作电压以及放大器放大倍数，使放大器输出脉冲的脉冲幅度小于6V。</w:t>
      </w:r>
    </w:p>
    <w:p>
      <w:pPr>
        <w:jc w:val="left"/>
        <w:rPr>
          <w:rFonts w:hint="eastAsia"/>
          <w:lang w:val="en-US" w:eastAsia="zh-CN"/>
        </w:rPr>
      </w:pPr>
      <w:r>
        <w:rPr>
          <w:rFonts w:hint="eastAsia"/>
          <w:lang w:val="en-US" w:eastAsia="zh-CN"/>
        </w:rPr>
        <w:t>4、测量Cs-137和Co-60能谱，用最小二乘法能喝直线方程计算增益和拮据进行能量刻度。</w:t>
      </w:r>
    </w:p>
    <w:p>
      <w:pPr>
        <w:jc w:val="left"/>
        <w:rPr>
          <w:rFonts w:hint="eastAsia"/>
          <w:lang w:val="en-US" w:eastAsia="zh-CN"/>
        </w:rPr>
      </w:pPr>
      <w:r>
        <w:rPr>
          <w:rFonts w:hint="eastAsia"/>
          <w:lang w:val="en-US" w:eastAsia="zh-CN"/>
        </w:rPr>
        <w:t>2、从测量Cs-137的能谱计算闪烁谱仪能量分辨率。</w:t>
      </w:r>
    </w:p>
    <w:p>
      <w:pPr>
        <w:jc w:val="left"/>
        <w:rPr>
          <w:rFonts w:hint="eastAsia"/>
          <w:lang w:val="en-US" w:eastAsia="zh-CN"/>
        </w:rPr>
      </w:pPr>
      <w:r>
        <w:rPr>
          <w:rFonts w:hint="eastAsia"/>
          <w:lang w:val="en-US" w:eastAsia="zh-CN"/>
        </w:rPr>
        <w:t>3、在三个不同时间下，测量Cs-137峰面积。</w:t>
      </w:r>
    </w:p>
    <w:p>
      <w:pPr>
        <w:jc w:val="left"/>
        <w:rPr>
          <w:rFonts w:hint="eastAsia"/>
          <w:b/>
          <w:bCs/>
          <w:sz w:val="24"/>
          <w:szCs w:val="24"/>
          <w:lang w:val="en-US" w:eastAsia="zh-CN"/>
        </w:rPr>
      </w:pPr>
      <w:r>
        <w:rPr>
          <w:rFonts w:hint="eastAsia"/>
          <w:b/>
          <w:bCs/>
          <w:sz w:val="24"/>
          <w:szCs w:val="24"/>
          <w:lang w:val="en-US" w:eastAsia="zh-CN"/>
        </w:rPr>
        <w:t>四、实验数据</w:t>
      </w:r>
    </w:p>
    <w:p>
      <w:pPr>
        <w:numPr>
          <w:ilvl w:val="0"/>
          <w:numId w:val="6"/>
        </w:numPr>
        <w:jc w:val="left"/>
        <w:rPr>
          <w:rFonts w:hint="eastAsia"/>
          <w:lang w:val="en-US" w:eastAsia="zh-CN"/>
        </w:rPr>
      </w:pPr>
      <w:r>
        <w:rPr>
          <w:rFonts w:hint="eastAsia"/>
          <w:lang w:val="en-US" w:eastAsia="zh-CN"/>
        </w:rPr>
        <w:t>能谱</w:t>
      </w:r>
    </w:p>
    <w:p>
      <w:pPr>
        <w:numPr>
          <w:ilvl w:val="0"/>
          <w:numId w:val="0"/>
        </w:numPr>
        <w:jc w:val="left"/>
        <w:rPr>
          <w:rFonts w:hint="eastAsia"/>
          <w:lang w:val="en-US" w:eastAsia="zh-CN"/>
        </w:rPr>
      </w:pPr>
      <w:r>
        <w:rPr>
          <w:rFonts w:hint="eastAsia"/>
          <w:lang w:val="en-US" w:eastAsia="zh-CN"/>
        </w:rPr>
        <w:drawing>
          <wp:inline distT="0" distB="0" distL="114300" distR="114300">
            <wp:extent cx="2561590" cy="1979930"/>
            <wp:effectExtent l="0" t="0" r="10160" b="1270"/>
            <wp:docPr id="7" name="图片 7" descr="Cs 33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s 333s"/>
                    <pic:cNvPicPr>
                      <a:picLocks noChangeAspect="1"/>
                    </pic:cNvPicPr>
                  </pic:nvPicPr>
                  <pic:blipFill>
                    <a:blip r:embed="rId32"/>
                    <a:stretch>
                      <a:fillRect/>
                    </a:stretch>
                  </pic:blipFill>
                  <pic:spPr>
                    <a:xfrm>
                      <a:off x="0" y="0"/>
                      <a:ext cx="2561590" cy="1979930"/>
                    </a:xfrm>
                    <a:prstGeom prst="rect">
                      <a:avLst/>
                    </a:prstGeom>
                  </pic:spPr>
                </pic:pic>
              </a:graphicData>
            </a:graphic>
          </wp:inline>
        </w:drawing>
      </w:r>
      <w:r>
        <w:rPr>
          <w:rFonts w:hint="eastAsia"/>
          <w:lang w:val="en-US" w:eastAsia="zh-CN"/>
        </w:rPr>
        <w:drawing>
          <wp:inline distT="0" distB="0" distL="114300" distR="114300">
            <wp:extent cx="2561590" cy="1979930"/>
            <wp:effectExtent l="0" t="0" r="10160" b="1270"/>
            <wp:docPr id="6" name="图片 6" descr="Co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60"/>
                    <pic:cNvPicPr>
                      <a:picLocks noChangeAspect="1"/>
                    </pic:cNvPicPr>
                  </pic:nvPicPr>
                  <pic:blipFill>
                    <a:blip r:embed="rId33"/>
                    <a:stretch>
                      <a:fillRect/>
                    </a:stretch>
                  </pic:blipFill>
                  <pic:spPr>
                    <a:xfrm>
                      <a:off x="0" y="0"/>
                      <a:ext cx="2561590" cy="197993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 xml:space="preserve">                Cs-137能谱                            Co-60能谱</w:t>
      </w:r>
    </w:p>
    <w:p>
      <w:pPr>
        <w:numPr>
          <w:ilvl w:val="0"/>
          <w:numId w:val="0"/>
        </w:numPr>
        <w:jc w:val="left"/>
        <w:rPr>
          <w:rFonts w:hint="eastAsia"/>
          <w:lang w:val="en-US" w:eastAsia="zh-CN"/>
        </w:rPr>
      </w:pPr>
      <w:r>
        <w:rPr>
          <w:rFonts w:hint="eastAsia"/>
          <w:lang w:val="en-US" w:eastAsia="zh-CN"/>
        </w:rPr>
        <w:t>从图中可以计算Cs-137能量分辨率</w:t>
      </w:r>
    </w:p>
    <w:p>
      <w:pPr>
        <w:numPr>
          <w:ilvl w:val="0"/>
          <w:numId w:val="0"/>
        </w:numPr>
        <w:jc w:val="left"/>
        <w:rPr>
          <w:rFonts w:hint="eastAsia"/>
          <w:lang w:val="en-US" w:eastAsia="zh-CN"/>
        </w:rPr>
      </w:pPr>
      <w:r>
        <w:rPr>
          <w:rFonts w:hint="eastAsia"/>
          <w:position w:val="-24"/>
          <w:lang w:val="en-US" w:eastAsia="zh-CN"/>
        </w:rPr>
        <w:object>
          <v:shape id="_x0000_i1035" o:spt="75" type="#_x0000_t75" style="height:31pt;width:147pt;" o:ole="t" filled="f" o:preferrelative="t" stroked="f" coordsize="21600,21600">
            <v:fill on="f" focussize="0,0"/>
            <v:stroke on="f"/>
            <v:imagedata r:id="rId35" o:title=""/>
            <o:lock v:ext="edit" aspectratio="t"/>
            <w10:wrap type="none"/>
            <w10:anchorlock/>
          </v:shape>
          <o:OLEObject Type="Embed" ProgID="Equation.KSEE3" ShapeID="_x0000_i1035" DrawAspect="Content" ObjectID="_1468075737" r:id="rId34">
            <o:LockedField>false</o:LockedField>
          </o:OLEObject>
        </w:objec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2、Cs-137 峰面积与测量时间的关系</w:t>
      </w:r>
    </w:p>
    <w:p>
      <w:pPr>
        <w:numPr>
          <w:ilvl w:val="0"/>
          <w:numId w:val="0"/>
        </w:numPr>
        <w:jc w:val="left"/>
        <w:rPr>
          <w:rFonts w:hint="eastAsia"/>
          <w:lang w:val="en-US" w:eastAsia="zh-CN"/>
        </w:rPr>
      </w:pPr>
      <w:r>
        <w:rPr>
          <w:rFonts w:hint="eastAsia"/>
          <w:lang w:val="en-US" w:eastAsia="zh-CN"/>
        </w:rPr>
        <w:drawing>
          <wp:inline distT="0" distB="0" distL="114300" distR="114300">
            <wp:extent cx="1722755" cy="1332230"/>
            <wp:effectExtent l="0" t="0" r="10795" b="1270"/>
            <wp:docPr id="11" name="图片 11" descr="Cs 33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s 333s"/>
                    <pic:cNvPicPr>
                      <a:picLocks noChangeAspect="1"/>
                    </pic:cNvPicPr>
                  </pic:nvPicPr>
                  <pic:blipFill>
                    <a:blip r:embed="rId32"/>
                    <a:stretch>
                      <a:fillRect/>
                    </a:stretch>
                  </pic:blipFill>
                  <pic:spPr>
                    <a:xfrm>
                      <a:off x="0" y="0"/>
                      <a:ext cx="1722755" cy="1332230"/>
                    </a:xfrm>
                    <a:prstGeom prst="rect">
                      <a:avLst/>
                    </a:prstGeom>
                  </pic:spPr>
                </pic:pic>
              </a:graphicData>
            </a:graphic>
          </wp:inline>
        </w:drawing>
      </w:r>
      <w:r>
        <w:rPr>
          <w:rFonts w:hint="eastAsia"/>
          <w:lang w:val="en-US" w:eastAsia="zh-CN"/>
        </w:rPr>
        <w:drawing>
          <wp:inline distT="0" distB="0" distL="114300" distR="114300">
            <wp:extent cx="1722755" cy="1332230"/>
            <wp:effectExtent l="0" t="0" r="10795" b="1270"/>
            <wp:docPr id="12" name="图片 12" descr="Cs137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s137 666"/>
                    <pic:cNvPicPr>
                      <a:picLocks noChangeAspect="1"/>
                    </pic:cNvPicPr>
                  </pic:nvPicPr>
                  <pic:blipFill>
                    <a:blip r:embed="rId36"/>
                    <a:stretch>
                      <a:fillRect/>
                    </a:stretch>
                  </pic:blipFill>
                  <pic:spPr>
                    <a:xfrm>
                      <a:off x="0" y="0"/>
                      <a:ext cx="1722755" cy="1332230"/>
                    </a:xfrm>
                    <a:prstGeom prst="rect">
                      <a:avLst/>
                    </a:prstGeom>
                  </pic:spPr>
                </pic:pic>
              </a:graphicData>
            </a:graphic>
          </wp:inline>
        </w:drawing>
      </w:r>
      <w:r>
        <w:rPr>
          <w:rFonts w:hint="eastAsia"/>
          <w:lang w:val="en-US" w:eastAsia="zh-CN"/>
        </w:rPr>
        <w:drawing>
          <wp:inline distT="0" distB="0" distL="114300" distR="114300">
            <wp:extent cx="1723390" cy="1332230"/>
            <wp:effectExtent l="0" t="0" r="10160" b="1270"/>
            <wp:docPr id="13" name="图片 13" descr="Cs137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s137 1000"/>
                    <pic:cNvPicPr>
                      <a:picLocks noChangeAspect="1"/>
                    </pic:cNvPicPr>
                  </pic:nvPicPr>
                  <pic:blipFill>
                    <a:blip r:embed="rId37"/>
                    <a:stretch>
                      <a:fillRect/>
                    </a:stretch>
                  </pic:blipFill>
                  <pic:spPr>
                    <a:xfrm>
                      <a:off x="0" y="0"/>
                      <a:ext cx="1723390" cy="133223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 xml:space="preserve">   Cs-137能谱测量334s         Cs-137能谱测量668s       Cs-137能谱测量1000s</w:t>
      </w:r>
    </w:p>
    <w:tbl>
      <w:tblPr>
        <w:tblStyle w:val="17"/>
        <w:tblW w:w="85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2"/>
        <w:gridCol w:w="1712"/>
        <w:gridCol w:w="1700"/>
        <w:gridCol w:w="1685"/>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测量时间/s</w:t>
            </w:r>
          </w:p>
        </w:tc>
        <w:tc>
          <w:tcPr>
            <w:tcW w:w="1712" w:type="dxa"/>
          </w:tcPr>
          <w:p>
            <w:pPr>
              <w:numPr>
                <w:ilvl w:val="0"/>
                <w:numId w:val="0"/>
              </w:numPr>
              <w:jc w:val="center"/>
              <w:rPr>
                <w:rFonts w:hint="eastAsia"/>
                <w:vertAlign w:val="baseline"/>
                <w:lang w:val="en-US" w:eastAsia="zh-CN"/>
              </w:rPr>
            </w:pPr>
            <w:r>
              <w:rPr>
                <w:rFonts w:hint="eastAsia"/>
                <w:vertAlign w:val="baseline"/>
                <w:lang w:val="en-US" w:eastAsia="zh-CN"/>
              </w:rPr>
              <w:t>峰位/CH</w:t>
            </w:r>
          </w:p>
        </w:tc>
        <w:tc>
          <w:tcPr>
            <w:tcW w:w="1700" w:type="dxa"/>
          </w:tcPr>
          <w:p>
            <w:pPr>
              <w:numPr>
                <w:ilvl w:val="0"/>
                <w:numId w:val="0"/>
              </w:numPr>
              <w:jc w:val="center"/>
              <w:rPr>
                <w:rFonts w:hint="eastAsia"/>
                <w:vertAlign w:val="baseline"/>
                <w:lang w:val="en-US" w:eastAsia="zh-CN"/>
              </w:rPr>
            </w:pPr>
            <w:r>
              <w:rPr>
                <w:rFonts w:hint="eastAsia"/>
                <w:vertAlign w:val="baseline"/>
                <w:lang w:val="en-US" w:eastAsia="zh-CN"/>
              </w:rPr>
              <w:t>峰半高宽</w:t>
            </w:r>
          </w:p>
        </w:tc>
        <w:tc>
          <w:tcPr>
            <w:tcW w:w="1685" w:type="dxa"/>
          </w:tcPr>
          <w:p>
            <w:pPr>
              <w:numPr>
                <w:ilvl w:val="0"/>
                <w:numId w:val="0"/>
              </w:numPr>
              <w:jc w:val="center"/>
              <w:rPr>
                <w:rFonts w:hint="eastAsia"/>
                <w:vertAlign w:val="baseline"/>
                <w:lang w:val="en-US" w:eastAsia="zh-CN"/>
              </w:rPr>
            </w:pPr>
            <w:r>
              <w:rPr>
                <w:rFonts w:hint="eastAsia"/>
                <w:vertAlign w:val="baseline"/>
                <w:lang w:val="en-US" w:eastAsia="zh-CN"/>
              </w:rPr>
              <w:t>分辨率</w:t>
            </w:r>
          </w:p>
        </w:tc>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334</w:t>
            </w:r>
          </w:p>
        </w:tc>
        <w:tc>
          <w:tcPr>
            <w:tcW w:w="1712" w:type="dxa"/>
          </w:tcPr>
          <w:p>
            <w:pPr>
              <w:numPr>
                <w:ilvl w:val="0"/>
                <w:numId w:val="0"/>
              </w:numPr>
              <w:jc w:val="center"/>
              <w:rPr>
                <w:rFonts w:hint="eastAsia"/>
                <w:vertAlign w:val="baseline"/>
                <w:lang w:val="en-US" w:eastAsia="zh-CN"/>
              </w:rPr>
            </w:pPr>
            <w:r>
              <w:rPr>
                <w:rFonts w:hint="eastAsia"/>
                <w:vertAlign w:val="baseline"/>
                <w:lang w:val="en-US" w:eastAsia="zh-CN"/>
              </w:rPr>
              <w:t>129.34</w:t>
            </w:r>
          </w:p>
        </w:tc>
        <w:tc>
          <w:tcPr>
            <w:tcW w:w="1700" w:type="dxa"/>
          </w:tcPr>
          <w:p>
            <w:pPr>
              <w:numPr>
                <w:ilvl w:val="0"/>
                <w:numId w:val="0"/>
              </w:numPr>
              <w:jc w:val="center"/>
              <w:rPr>
                <w:rFonts w:hint="eastAsia"/>
                <w:vertAlign w:val="baseline"/>
                <w:lang w:val="en-US" w:eastAsia="zh-CN"/>
              </w:rPr>
            </w:pPr>
            <w:r>
              <w:rPr>
                <w:rFonts w:hint="eastAsia"/>
                <w:vertAlign w:val="baseline"/>
                <w:lang w:val="en-US" w:eastAsia="zh-CN"/>
              </w:rPr>
              <w:t>15.4</w:t>
            </w:r>
          </w:p>
        </w:tc>
        <w:tc>
          <w:tcPr>
            <w:tcW w:w="1685" w:type="dxa"/>
          </w:tcPr>
          <w:p>
            <w:pPr>
              <w:numPr>
                <w:ilvl w:val="0"/>
                <w:numId w:val="0"/>
              </w:numPr>
              <w:jc w:val="center"/>
              <w:rPr>
                <w:rFonts w:hint="eastAsia"/>
                <w:vertAlign w:val="baseline"/>
                <w:lang w:val="en-US" w:eastAsia="zh-CN"/>
              </w:rPr>
            </w:pPr>
            <w:r>
              <w:rPr>
                <w:rFonts w:hint="eastAsia"/>
                <w:vertAlign w:val="baseline"/>
                <w:lang w:val="en-US" w:eastAsia="zh-CN"/>
              </w:rPr>
              <w:t>11.91</w:t>
            </w:r>
          </w:p>
        </w:tc>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7812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668</w:t>
            </w:r>
          </w:p>
        </w:tc>
        <w:tc>
          <w:tcPr>
            <w:tcW w:w="1712"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129.32</w:t>
            </w:r>
          </w:p>
        </w:tc>
        <w:tc>
          <w:tcPr>
            <w:tcW w:w="1700"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15.94</w:t>
            </w:r>
          </w:p>
        </w:tc>
        <w:tc>
          <w:tcPr>
            <w:tcW w:w="1685"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12.32</w:t>
            </w:r>
          </w:p>
        </w:tc>
        <w:tc>
          <w:tcPr>
            <w:tcW w:w="1712" w:type="dxa"/>
            <w:textDirection w:val="lrTb"/>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15495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2" w:type="dxa"/>
            <w:textDirection w:val="lrTb"/>
            <w:vAlign w:val="top"/>
          </w:tcPr>
          <w:p>
            <w:pPr>
              <w:numPr>
                <w:ilvl w:val="0"/>
                <w:numId w:val="0"/>
              </w:numPr>
              <w:ind w:left="0" w:leftChars="0" w:firstLine="0" w:firstLineChars="0"/>
              <w:jc w:val="center"/>
            </w:pPr>
            <w:r>
              <w:rPr>
                <w:rFonts w:hint="eastAsia"/>
                <w:vertAlign w:val="baseline"/>
                <w:lang w:val="en-US" w:eastAsia="zh-CN"/>
              </w:rPr>
              <w:t>1000</w:t>
            </w:r>
          </w:p>
        </w:tc>
        <w:tc>
          <w:tcPr>
            <w:tcW w:w="1712"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129</w:t>
            </w:r>
          </w:p>
        </w:tc>
        <w:tc>
          <w:tcPr>
            <w:tcW w:w="1700"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15.87</w:t>
            </w:r>
          </w:p>
        </w:tc>
        <w:tc>
          <w:tcPr>
            <w:tcW w:w="1685" w:type="dxa"/>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12.3</w:t>
            </w:r>
          </w:p>
        </w:tc>
        <w:tc>
          <w:tcPr>
            <w:tcW w:w="1712" w:type="dxa"/>
            <w:textDirection w:val="lrTb"/>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25456</w:t>
            </w:r>
          </w:p>
        </w:tc>
      </w:tr>
    </w:tbl>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drawing>
          <wp:inline distT="0" distB="0" distL="114300" distR="114300">
            <wp:extent cx="2560955" cy="1979930"/>
            <wp:effectExtent l="0" t="0" r="10795" b="1270"/>
            <wp:docPr id="14" name="图片 14" descr="峰面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峰面积"/>
                    <pic:cNvPicPr>
                      <a:picLocks noChangeAspect="1"/>
                    </pic:cNvPicPr>
                  </pic:nvPicPr>
                  <pic:blipFill>
                    <a:blip r:embed="rId38"/>
                    <a:stretch>
                      <a:fillRect/>
                    </a:stretch>
                  </pic:blipFill>
                  <pic:spPr>
                    <a:xfrm>
                      <a:off x="0" y="0"/>
                      <a:ext cx="2560955" cy="1979930"/>
                    </a:xfrm>
                    <a:prstGeom prst="rect">
                      <a:avLst/>
                    </a:prstGeom>
                  </pic:spPr>
                </pic:pic>
              </a:graphicData>
            </a:graphic>
          </wp:inline>
        </w:drawing>
      </w:r>
      <w:r>
        <w:rPr>
          <w:rFonts w:hint="eastAsia"/>
          <w:lang w:val="en-US" w:eastAsia="zh-CN"/>
        </w:rPr>
        <w:drawing>
          <wp:inline distT="0" distB="0" distL="114300" distR="114300">
            <wp:extent cx="2586990" cy="1979930"/>
            <wp:effectExtent l="0" t="0" r="3810" b="1270"/>
            <wp:docPr id="9" name="图片 9" descr="低压能量刻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低压能量刻度"/>
                    <pic:cNvPicPr>
                      <a:picLocks noChangeAspect="1"/>
                    </pic:cNvPicPr>
                  </pic:nvPicPr>
                  <pic:blipFill>
                    <a:blip r:embed="rId39"/>
                    <a:stretch>
                      <a:fillRect/>
                    </a:stretch>
                  </pic:blipFill>
                  <pic:spPr>
                    <a:xfrm>
                      <a:off x="0" y="0"/>
                      <a:ext cx="2586990" cy="197993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峰面积与测量时间关系图                 能量刻度图</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7"/>
        </w:numPr>
        <w:jc w:val="left"/>
        <w:rPr>
          <w:rFonts w:hint="eastAsia"/>
          <w:lang w:val="en-US" w:eastAsia="zh-CN"/>
        </w:rPr>
      </w:pPr>
      <w:r>
        <w:rPr>
          <w:rFonts w:hint="eastAsia"/>
          <w:lang w:val="en-US" w:eastAsia="zh-CN"/>
        </w:rPr>
        <w:t>能量刻度</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Cs-137峰</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Co-60峰1</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Co-60峰2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r>
              <w:rPr>
                <w:rFonts w:hint="eastAsia"/>
                <w:vertAlign w:val="baseline"/>
                <w:lang w:val="en-US" w:eastAsia="zh-CN"/>
              </w:rPr>
              <w:t>能量(MeV)</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0.662</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1.17</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r>
              <w:rPr>
                <w:rFonts w:hint="eastAsia"/>
                <w:vertAlign w:val="baseline"/>
                <w:lang w:val="en-US" w:eastAsia="zh-CN"/>
              </w:rPr>
              <w:t>Xp/CH</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129</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229</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258</w:t>
            </w:r>
          </w:p>
        </w:tc>
      </w:tr>
    </w:tbl>
    <w:p>
      <w:pPr>
        <w:numPr>
          <w:ilvl w:val="0"/>
          <w:numId w:val="0"/>
        </w:numPr>
        <w:jc w:val="left"/>
        <w:rPr>
          <w:rFonts w:hint="eastAsia"/>
          <w:lang w:val="en-US" w:eastAsia="zh-CN"/>
        </w:rPr>
      </w:pPr>
    </w:p>
    <w:p>
      <w:pPr>
        <w:numPr>
          <w:ilvl w:val="0"/>
          <w:numId w:val="0"/>
        </w:numPr>
        <w:jc w:val="left"/>
        <w:rPr>
          <w:rFonts w:hint="eastAsia"/>
          <w:position w:val="-10"/>
          <w:lang w:val="en-US" w:eastAsia="zh-CN"/>
        </w:rPr>
      </w:pPr>
      <w:r>
        <w:rPr>
          <w:rFonts w:hint="eastAsia"/>
          <w:lang w:val="en-US" w:eastAsia="zh-CN"/>
        </w:rPr>
        <w:t>拟合结果</w:t>
      </w:r>
      <w:r>
        <w:rPr>
          <w:rFonts w:hint="eastAsia"/>
          <w:position w:val="-10"/>
          <w:lang w:val="en-US" w:eastAsia="zh-CN"/>
        </w:rPr>
        <w:object>
          <v:shape id="_x0000_i1033" o:spt="75" type="#_x0000_t75" style="height:16pt;width:114.95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8" r:id="rId40">
            <o:LockedField>false</o:LockedField>
          </o:OLEObject>
        </w:object>
      </w:r>
    </w:p>
    <w:p>
      <w:pPr>
        <w:numPr>
          <w:ilvl w:val="0"/>
          <w:numId w:val="0"/>
        </w:numPr>
        <w:jc w:val="left"/>
        <w:rPr>
          <w:rFonts w:hint="eastAsia"/>
          <w:position w:val="-10"/>
          <w:lang w:val="en-US" w:eastAsia="zh-CN"/>
        </w:rPr>
      </w:pPr>
    </w:p>
    <w:p>
      <w:pPr>
        <w:numPr>
          <w:ilvl w:val="0"/>
          <w:numId w:val="0"/>
        </w:numPr>
        <w:jc w:val="left"/>
        <w:rPr>
          <w:rFonts w:hint="eastAsia"/>
          <w:position w:val="-10"/>
          <w:lang w:val="en-US" w:eastAsia="zh-CN"/>
        </w:rPr>
      </w:pPr>
    </w:p>
    <w:p>
      <w:pPr>
        <w:numPr>
          <w:ilvl w:val="0"/>
          <w:numId w:val="0"/>
        </w:numPr>
        <w:jc w:val="center"/>
        <w:rPr>
          <w:rFonts w:hint="eastAsia"/>
          <w:b w:val="0"/>
          <w:bCs w:val="0"/>
          <w:sz w:val="24"/>
          <w:szCs w:val="24"/>
          <w:lang w:val="en-US" w:eastAsia="zh-CN"/>
        </w:rPr>
      </w:pPr>
      <w:r>
        <w:rPr>
          <w:rFonts w:hint="eastAsia"/>
          <w:b w:val="0"/>
          <w:bCs w:val="0"/>
          <w:sz w:val="24"/>
          <w:szCs w:val="24"/>
          <w:lang w:val="en-US" w:eastAsia="zh-CN"/>
        </w:rPr>
        <w:t>实验二 快速电子的动量和动能之间的相对论关系</w:t>
      </w:r>
    </w:p>
    <w:p>
      <w:pPr>
        <w:numPr>
          <w:ilvl w:val="0"/>
          <w:numId w:val="0"/>
        </w:numPr>
        <w:jc w:val="center"/>
        <w:rPr>
          <w:rFonts w:hint="eastAsia"/>
          <w:b w:val="0"/>
          <w:bCs w:val="0"/>
          <w:sz w:val="24"/>
          <w:szCs w:val="24"/>
          <w:lang w:val="en-US" w:eastAsia="zh-CN"/>
        </w:rPr>
      </w:pPr>
    </w:p>
    <w:p>
      <w:pPr>
        <w:numPr>
          <w:ilvl w:val="0"/>
          <w:numId w:val="0"/>
        </w:numPr>
        <w:jc w:val="left"/>
        <w:rPr>
          <w:rFonts w:hint="eastAsia"/>
          <w:b/>
          <w:bCs/>
          <w:sz w:val="24"/>
          <w:szCs w:val="24"/>
          <w:lang w:val="en-US" w:eastAsia="zh-CN"/>
        </w:rPr>
      </w:pPr>
      <w:r>
        <w:rPr>
          <w:rFonts w:hint="eastAsia"/>
          <w:b/>
          <w:bCs/>
          <w:sz w:val="24"/>
          <w:szCs w:val="24"/>
          <w:lang w:val="en-US" w:eastAsia="zh-CN"/>
        </w:rPr>
        <w:t>一、实验目的</w:t>
      </w:r>
    </w:p>
    <w:p>
      <w:pPr>
        <w:numPr>
          <w:ilvl w:val="0"/>
          <w:numId w:val="0"/>
        </w:numPr>
        <w:jc w:val="left"/>
        <w:rPr>
          <w:rFonts w:hint="eastAsia"/>
          <w:lang w:val="en-US" w:eastAsia="zh-CN"/>
        </w:rPr>
      </w:pPr>
      <w:r>
        <w:rPr>
          <w:rFonts w:hint="eastAsia"/>
          <w:lang w:val="en-US" w:eastAsia="zh-CN"/>
        </w:rPr>
        <w:t>1、验证快速电子的动量和动能之间的相对论关系</w:t>
      </w:r>
    </w:p>
    <w:p>
      <w:pPr>
        <w:numPr>
          <w:ilvl w:val="0"/>
          <w:numId w:val="0"/>
        </w:numPr>
        <w:jc w:val="left"/>
        <w:rPr>
          <w:rFonts w:hint="eastAsia"/>
          <w:lang w:val="en-US" w:eastAsia="zh-CN"/>
        </w:rPr>
      </w:pPr>
      <w:r>
        <w:rPr>
          <w:rFonts w:hint="eastAsia"/>
          <w:lang w:val="en-US" w:eastAsia="zh-CN"/>
        </w:rPr>
        <w:t>2、掌握使用β磁谱仪获得单一动量电子的方法和同时测量相应动能的方法</w:t>
      </w:r>
    </w:p>
    <w:p>
      <w:pPr>
        <w:numPr>
          <w:ilvl w:val="0"/>
          <w:numId w:val="0"/>
        </w:numPr>
        <w:jc w:val="left"/>
        <w:rPr>
          <w:rFonts w:hint="eastAsia"/>
          <w:lang w:val="en-US" w:eastAsia="zh-CN"/>
        </w:rPr>
      </w:pPr>
    </w:p>
    <w:p>
      <w:pPr>
        <w:numPr>
          <w:ilvl w:val="0"/>
          <w:numId w:val="8"/>
        </w:numPr>
        <w:jc w:val="left"/>
        <w:rPr>
          <w:rFonts w:hint="eastAsia"/>
          <w:b/>
          <w:bCs/>
          <w:sz w:val="24"/>
          <w:szCs w:val="24"/>
          <w:lang w:val="en-US" w:eastAsia="zh-CN"/>
        </w:rPr>
      </w:pPr>
      <w:r>
        <w:rPr>
          <w:rFonts w:hint="eastAsia"/>
          <w:b/>
          <w:bCs/>
          <w:sz w:val="24"/>
          <w:szCs w:val="24"/>
          <w:lang w:val="en-US" w:eastAsia="zh-CN"/>
        </w:rPr>
        <w:t>实验原理</w:t>
      </w:r>
    </w:p>
    <w:p>
      <w:pPr>
        <w:widowControl w:val="0"/>
        <w:numPr>
          <w:ilvl w:val="0"/>
          <w:numId w:val="9"/>
        </w:numPr>
        <w:jc w:val="left"/>
        <w:rPr>
          <w:rFonts w:hint="eastAsia"/>
          <w:lang w:val="en-US" w:eastAsia="zh-CN"/>
        </w:rPr>
      </w:pPr>
      <w:r>
        <w:rPr>
          <w:rFonts w:hint="eastAsia"/>
          <w:lang w:val="en-US" w:eastAsia="zh-CN"/>
        </w:rPr>
        <w:t>狭义相对论的能量动量关系为</w:t>
      </w:r>
    </w:p>
    <w:p>
      <w:pPr>
        <w:widowControl w:val="0"/>
        <w:numPr>
          <w:numId w:val="0"/>
        </w:numPr>
        <w:jc w:val="center"/>
        <w:rPr>
          <w:rFonts w:hint="eastAsia"/>
          <w:lang w:val="en-US" w:eastAsia="zh-CN"/>
        </w:rPr>
      </w:pPr>
      <w:r>
        <w:rPr>
          <w:rFonts w:hint="eastAsia"/>
          <w:position w:val="-12"/>
          <w:lang w:val="en-US" w:eastAsia="zh-CN"/>
        </w:rPr>
        <w:object>
          <v:shape id="_x0000_i1042" o:spt="75" type="#_x0000_t75" style="height:20pt;width:90pt;" o:ole="t" filled="f" o:preferrelative="t" stroked="f" coordsize="21600,21600">
            <v:fill on="f" focussize="0,0"/>
            <v:stroke on="f"/>
            <v:imagedata r:id="rId43" o:title=""/>
            <o:lock v:ext="edit" aspectratio="t"/>
            <w10:wrap type="none"/>
            <w10:anchorlock/>
          </v:shape>
          <o:OLEObject Type="Embed" ProgID="Equation.KSEE3" ShapeID="_x0000_i1042" DrawAspect="Content" ObjectID="_1468075739" r:id="rId42">
            <o:LockedField>false</o:LockedField>
          </o:OLEObject>
        </w:object>
      </w:r>
    </w:p>
    <w:p>
      <w:pPr>
        <w:widowControl w:val="0"/>
        <w:numPr>
          <w:numId w:val="0"/>
        </w:numPr>
        <w:ind w:firstLine="420" w:firstLineChars="0"/>
        <w:jc w:val="left"/>
        <w:rPr>
          <w:rFonts w:hint="eastAsia"/>
          <w:lang w:val="en-US" w:eastAsia="zh-CN"/>
        </w:rPr>
      </w:pPr>
      <w:r>
        <w:rPr>
          <w:rFonts w:hint="eastAsia"/>
          <w:lang w:val="en-US" w:eastAsia="zh-CN"/>
        </w:rPr>
        <w:t>狭义相对论的动能动量关系为</w:t>
      </w:r>
    </w:p>
    <w:p>
      <w:pPr>
        <w:widowControl w:val="0"/>
        <w:numPr>
          <w:numId w:val="0"/>
        </w:numPr>
        <w:jc w:val="center"/>
        <w:rPr>
          <w:rFonts w:hint="eastAsia"/>
          <w:lang w:val="en-US" w:eastAsia="zh-CN"/>
        </w:rPr>
      </w:pPr>
      <w:r>
        <w:rPr>
          <w:rFonts w:hint="eastAsia"/>
          <w:position w:val="-14"/>
          <w:lang w:val="en-US" w:eastAsia="zh-CN"/>
        </w:rPr>
        <w:object>
          <v:shape id="_x0000_i1043" o:spt="75" type="#_x0000_t75" style="height:24pt;width:175.95pt;" o:ole="t" filled="f" o:preferrelative="t" stroked="f" coordsize="21600,21600">
            <v:fill on="f" focussize="0,0"/>
            <v:stroke on="f"/>
            <v:imagedata r:id="rId45" o:title=""/>
            <o:lock v:ext="edit" aspectratio="t"/>
            <w10:wrap type="none"/>
            <w10:anchorlock/>
          </v:shape>
          <o:OLEObject Type="Embed" ProgID="Equation.KSEE3" ShapeID="_x0000_i1043" DrawAspect="Content" ObjectID="_1468075740" r:id="rId44">
            <o:LockedField>false</o:LockedField>
          </o:OLEObject>
        </w:object>
      </w:r>
    </w:p>
    <w:p>
      <w:pPr>
        <w:widowControl w:val="0"/>
        <w:numPr>
          <w:numId w:val="0"/>
        </w:numPr>
        <w:jc w:val="left"/>
        <w:rPr>
          <w:rFonts w:hint="eastAsia"/>
          <w:lang w:val="en-US" w:eastAsia="zh-CN"/>
        </w:rPr>
      </w:pPr>
    </w:p>
    <w:p>
      <w:pPr>
        <w:widowControl w:val="0"/>
        <w:numPr>
          <w:ilvl w:val="0"/>
          <w:numId w:val="9"/>
        </w:numPr>
        <w:jc w:val="left"/>
        <w:rPr>
          <w:rFonts w:hint="eastAsia"/>
          <w:lang w:val="en-US" w:eastAsia="zh-CN"/>
        </w:rPr>
      </w:pPr>
      <w:r>
        <w:rPr>
          <w:rFonts w:hint="eastAsia"/>
          <w:lang w:val="en-US" w:eastAsia="zh-CN"/>
        </w:rPr>
        <w:t>为了获得单一动量的电子，可以选用半圆聚焦β磁谱仪。</w:t>
      </w:r>
    </w:p>
    <w:p>
      <w:pPr>
        <w:widowControl w:val="0"/>
        <w:numPr>
          <w:numId w:val="0"/>
        </w:numPr>
        <w:ind w:firstLine="420" w:firstLineChars="0"/>
        <w:jc w:val="left"/>
        <w:rPr>
          <w:rFonts w:hint="eastAsia"/>
          <w:vertAlign w:val="baseline"/>
          <w:lang w:val="en-US" w:eastAsia="zh-CN"/>
        </w:rPr>
      </w:pPr>
      <w:r>
        <w:rPr>
          <w:rFonts w:hint="eastAsia"/>
          <w:lang w:val="en-US" w:eastAsia="zh-CN"/>
        </w:rPr>
        <w:t>放射源初涉的β</w:t>
      </w:r>
      <w:r>
        <w:rPr>
          <w:rFonts w:hint="eastAsia"/>
          <w:vertAlign w:val="superscript"/>
          <w:lang w:val="en-US" w:eastAsia="zh-CN"/>
        </w:rPr>
        <w:t>-</w:t>
      </w:r>
      <w:r>
        <w:rPr>
          <w:rFonts w:hint="eastAsia"/>
          <w:vertAlign w:val="baseline"/>
          <w:lang w:val="en-US" w:eastAsia="zh-CN"/>
        </w:rPr>
        <w:t>粒子垂直射入一均匀磁场中，</w:t>
      </w:r>
      <w:r>
        <w:rPr>
          <w:rFonts w:hint="eastAsia"/>
          <w:lang w:val="en-US" w:eastAsia="zh-CN"/>
        </w:rPr>
        <w:t>β</w:t>
      </w:r>
      <w:r>
        <w:rPr>
          <w:rFonts w:hint="eastAsia"/>
          <w:vertAlign w:val="superscript"/>
          <w:lang w:val="en-US" w:eastAsia="zh-CN"/>
        </w:rPr>
        <w:t>-</w:t>
      </w:r>
      <w:r>
        <w:rPr>
          <w:rFonts w:hint="eastAsia"/>
          <w:vertAlign w:val="baseline"/>
          <w:lang w:val="en-US" w:eastAsia="zh-CN"/>
        </w:rPr>
        <w:t>粒子将收到洛仑兹力的作用而做圆周运动，该电子具有恒定的动量</w:t>
      </w:r>
    </w:p>
    <w:p>
      <w:pPr>
        <w:widowControl w:val="0"/>
        <w:numPr>
          <w:numId w:val="0"/>
        </w:numPr>
        <w:ind w:firstLine="420" w:firstLineChars="0"/>
        <w:jc w:val="center"/>
        <w:rPr>
          <w:rFonts w:hint="eastAsia"/>
          <w:lang w:val="en-US" w:eastAsia="zh-CN"/>
        </w:rPr>
      </w:pPr>
      <w:r>
        <w:rPr>
          <w:rFonts w:hint="eastAsia"/>
          <w:position w:val="-10"/>
          <w:vertAlign w:val="baseline"/>
          <w:lang w:val="en-US" w:eastAsia="zh-CN"/>
        </w:rPr>
        <w:object>
          <v:shape id="_x0000_i1044" o:spt="75" type="#_x0000_t75" style="height:16pt;width:49pt;" o:ole="t" filled="f" o:preferrelative="t" stroked="f" coordsize="21600,21600">
            <v:fill on="f" focussize="0,0"/>
            <v:stroke on="f"/>
            <v:imagedata r:id="rId47" o:title=""/>
            <o:lock v:ext="edit" aspectratio="t"/>
            <w10:wrap type="none"/>
            <w10:anchorlock/>
          </v:shape>
          <o:OLEObject Type="Embed" ProgID="Equation.KSEE3" ShapeID="_x0000_i1044" DrawAspect="Content" ObjectID="_1468075741" r:id="rId46">
            <o:LockedField>false</o:LockedField>
          </o:OLEObject>
        </w:object>
      </w:r>
    </w:p>
    <w:p>
      <w:pPr>
        <w:numPr>
          <w:ilvl w:val="0"/>
          <w:numId w:val="0"/>
        </w:numPr>
        <w:jc w:val="left"/>
        <w:rPr>
          <w:rFonts w:hint="eastAsia"/>
          <w:b/>
          <w:bCs/>
          <w:sz w:val="24"/>
          <w:szCs w:val="24"/>
          <w:lang w:val="en-US" w:eastAsia="zh-CN"/>
        </w:rPr>
      </w:pPr>
      <w:r>
        <w:rPr>
          <w:rFonts w:hint="eastAsia"/>
          <w:b/>
          <w:bCs/>
          <w:sz w:val="24"/>
          <w:szCs w:val="24"/>
          <w:lang w:val="en-US" w:eastAsia="zh-CN"/>
        </w:rPr>
        <w:t>三、实验内容</w:t>
      </w:r>
    </w:p>
    <w:p>
      <w:pPr>
        <w:numPr>
          <w:ilvl w:val="0"/>
          <w:numId w:val="10"/>
        </w:numPr>
        <w:jc w:val="left"/>
        <w:rPr>
          <w:rFonts w:hint="eastAsia"/>
          <w:lang w:val="en-US" w:eastAsia="zh-CN"/>
        </w:rPr>
      </w:pPr>
      <w:r>
        <w:rPr>
          <w:rFonts w:hint="eastAsia"/>
          <w:lang w:val="en-US" w:eastAsia="zh-CN"/>
        </w:rPr>
        <w:t>标定NaI闪烁谱仪的能量刻度曲线</w:t>
      </w:r>
    </w:p>
    <w:p>
      <w:pPr>
        <w:numPr>
          <w:ilvl w:val="0"/>
          <w:numId w:val="10"/>
        </w:numPr>
        <w:jc w:val="left"/>
        <w:rPr>
          <w:rFonts w:hint="eastAsia"/>
          <w:lang w:val="en-US" w:eastAsia="zh-CN"/>
        </w:rPr>
      </w:pPr>
      <w:r>
        <w:rPr>
          <w:rFonts w:hint="eastAsia"/>
          <w:lang w:val="en-US" w:eastAsia="zh-CN"/>
        </w:rPr>
        <w:t>在已经抽真空的磁谱仪上测定电子动量为P，对应电子的能量Ek，获得一组数据（P，Ek），拟合Ek~P关系图。</w:t>
      </w:r>
    </w:p>
    <w:p>
      <w:pPr>
        <w:numPr>
          <w:ilvl w:val="0"/>
          <w:numId w:val="0"/>
        </w:numPr>
        <w:jc w:val="left"/>
        <w:rPr>
          <w:rFonts w:hint="eastAsia"/>
          <w:lang w:val="en-US" w:eastAsia="zh-CN"/>
        </w:rPr>
      </w:pPr>
    </w:p>
    <w:p>
      <w:pPr>
        <w:numPr>
          <w:ilvl w:val="0"/>
          <w:numId w:val="0"/>
        </w:numPr>
        <w:jc w:val="left"/>
        <w:rPr>
          <w:rFonts w:hint="eastAsia"/>
          <w:sz w:val="24"/>
          <w:szCs w:val="24"/>
          <w:lang w:val="en-US" w:eastAsia="zh-CN"/>
        </w:rPr>
      </w:pPr>
      <w:r>
        <w:rPr>
          <w:rFonts w:hint="eastAsia"/>
          <w:sz w:val="24"/>
          <w:szCs w:val="24"/>
          <w:lang w:val="en-US" w:eastAsia="zh-CN"/>
        </w:rPr>
        <w:t>四、实验数据</w:t>
      </w:r>
    </w:p>
    <w:p>
      <w:pPr>
        <w:numPr>
          <w:ilvl w:val="0"/>
          <w:numId w:val="0"/>
        </w:numPr>
        <w:jc w:val="left"/>
        <w:rPr>
          <w:rFonts w:hint="eastAsia"/>
          <w:lang w:val="en-US" w:eastAsia="zh-CN"/>
        </w:rPr>
      </w:pPr>
      <w:r>
        <w:rPr>
          <w:rFonts w:hint="eastAsia"/>
          <w:lang w:val="en-US" w:eastAsia="zh-CN"/>
        </w:rPr>
        <w:t>1、能量刻度</w:t>
      </w:r>
    </w:p>
    <w:p>
      <w:pPr>
        <w:numPr>
          <w:ilvl w:val="0"/>
          <w:numId w:val="0"/>
        </w:numPr>
        <w:jc w:val="left"/>
        <w:rPr>
          <w:rFonts w:hint="eastAsia"/>
          <w:lang w:val="en-US" w:eastAsia="zh-CN"/>
        </w:rPr>
      </w:pPr>
      <w:r>
        <w:rPr>
          <w:rFonts w:hint="eastAsia"/>
          <w:lang w:val="en-US" w:eastAsia="zh-CN"/>
        </w:rPr>
        <w:t>电压655V</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Cs-137</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Co-60</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Co-60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r>
              <w:rPr>
                <w:rFonts w:hint="eastAsia"/>
                <w:vertAlign w:val="baseline"/>
                <w:lang w:val="en-US" w:eastAsia="zh-CN"/>
              </w:rPr>
              <w:t>能量(MeV)</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0.662</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1.17</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left"/>
              <w:rPr>
                <w:rFonts w:hint="eastAsia"/>
                <w:vertAlign w:val="baseline"/>
                <w:lang w:val="en-US" w:eastAsia="zh-CN"/>
              </w:rPr>
            </w:pPr>
            <w:r>
              <w:rPr>
                <w:rFonts w:hint="eastAsia"/>
                <w:vertAlign w:val="baseline"/>
                <w:lang w:val="en-US" w:eastAsia="zh-CN"/>
              </w:rPr>
              <w:t>Xp</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283</w:t>
            </w:r>
          </w:p>
        </w:tc>
        <w:tc>
          <w:tcPr>
            <w:tcW w:w="2131" w:type="dxa"/>
          </w:tcPr>
          <w:p>
            <w:pPr>
              <w:numPr>
                <w:ilvl w:val="0"/>
                <w:numId w:val="0"/>
              </w:numPr>
              <w:jc w:val="left"/>
              <w:rPr>
                <w:rFonts w:hint="eastAsia"/>
                <w:vertAlign w:val="baseline"/>
                <w:lang w:val="en-US" w:eastAsia="zh-CN"/>
              </w:rPr>
            </w:pPr>
            <w:r>
              <w:rPr>
                <w:rFonts w:hint="eastAsia"/>
                <w:vertAlign w:val="baseline"/>
                <w:lang w:val="en-US" w:eastAsia="zh-CN"/>
              </w:rPr>
              <w:t>495</w:t>
            </w:r>
          </w:p>
        </w:tc>
        <w:tc>
          <w:tcPr>
            <w:tcW w:w="2130" w:type="dxa"/>
          </w:tcPr>
          <w:p>
            <w:pPr>
              <w:numPr>
                <w:ilvl w:val="0"/>
                <w:numId w:val="0"/>
              </w:numPr>
              <w:jc w:val="left"/>
              <w:rPr>
                <w:rFonts w:hint="eastAsia"/>
                <w:vertAlign w:val="baseline"/>
                <w:lang w:val="en-US" w:eastAsia="zh-CN"/>
              </w:rPr>
            </w:pPr>
            <w:r>
              <w:rPr>
                <w:rFonts w:hint="eastAsia"/>
                <w:vertAlign w:val="baseline"/>
                <w:lang w:val="en-US" w:eastAsia="zh-CN"/>
              </w:rPr>
              <w:t>569</w:t>
            </w:r>
          </w:p>
        </w:tc>
      </w:tr>
    </w:tbl>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拟合结果</w:t>
      </w:r>
      <w:r>
        <w:rPr>
          <w:rFonts w:hint="eastAsia"/>
          <w:position w:val="-10"/>
          <w:lang w:val="en-US" w:eastAsia="zh-CN"/>
        </w:rPr>
        <w:object>
          <v:shape id="_x0000_i1047" o:spt="75" type="#_x0000_t75" style="height:18pt;width:129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2" r:id="rId48">
            <o:LockedField>false</o:LockedField>
          </o:OLEObject>
        </w:object>
      </w:r>
    </w:p>
    <w:p>
      <w:pPr>
        <w:numPr>
          <w:ilvl w:val="0"/>
          <w:numId w:val="0"/>
        </w:numPr>
        <w:jc w:val="left"/>
        <w:rPr>
          <w:rFonts w:hint="eastAsia"/>
          <w:lang w:val="en-US" w:eastAsia="zh-CN"/>
        </w:rPr>
      </w:pPr>
      <w:r>
        <w:rPr>
          <w:rFonts w:hint="eastAsia"/>
          <w:lang w:val="en-US" w:eastAsia="zh-CN"/>
        </w:rPr>
        <w:drawing>
          <wp:inline distT="0" distB="0" distL="114300" distR="114300">
            <wp:extent cx="2561590" cy="1979930"/>
            <wp:effectExtent l="0" t="0" r="10160" b="1270"/>
            <wp:docPr id="8" name="图片 8" descr="能量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能量关系"/>
                    <pic:cNvPicPr>
                      <a:picLocks noChangeAspect="1"/>
                    </pic:cNvPicPr>
                  </pic:nvPicPr>
                  <pic:blipFill>
                    <a:blip r:embed="rId50"/>
                    <a:stretch>
                      <a:fillRect/>
                    </a:stretch>
                  </pic:blipFill>
                  <pic:spPr>
                    <a:xfrm>
                      <a:off x="0" y="0"/>
                      <a:ext cx="2561590" cy="1979930"/>
                    </a:xfrm>
                    <a:prstGeom prst="rect">
                      <a:avLst/>
                    </a:prstGeom>
                  </pic:spPr>
                </pic:pic>
              </a:graphicData>
            </a:graphic>
          </wp:inline>
        </w:drawing>
      </w:r>
      <w:r>
        <w:rPr>
          <w:rFonts w:hint="eastAsia"/>
          <w:lang w:val="en-US" w:eastAsia="zh-CN"/>
        </w:rPr>
        <w:drawing>
          <wp:inline distT="0" distB="0" distL="114300" distR="114300">
            <wp:extent cx="2562225" cy="1979930"/>
            <wp:effectExtent l="0" t="0" r="9525" b="1270"/>
            <wp:docPr id="4" name="图片 4" descr="动能动量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动能动量关系"/>
                    <pic:cNvPicPr>
                      <a:picLocks noChangeAspect="1"/>
                    </pic:cNvPicPr>
                  </pic:nvPicPr>
                  <pic:blipFill>
                    <a:blip r:embed="rId51"/>
                    <a:stretch>
                      <a:fillRect/>
                    </a:stretch>
                  </pic:blipFill>
                  <pic:spPr>
                    <a:xfrm>
                      <a:off x="0" y="0"/>
                      <a:ext cx="2562225" cy="197993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 xml:space="preserve">                能量刻度                            动能动量关系图</w:t>
      </w:r>
    </w:p>
    <w:p>
      <w:pPr>
        <w:numPr>
          <w:ilvl w:val="0"/>
          <w:numId w:val="0"/>
        </w:numPr>
        <w:jc w:val="left"/>
        <w:rPr>
          <w:rFonts w:hint="eastAsia"/>
          <w:lang w:val="en-US" w:eastAsia="zh-CN"/>
        </w:rPr>
      </w:pPr>
    </w:p>
    <w:p>
      <w:pPr>
        <w:jc w:val="left"/>
        <w:rPr>
          <w:rFonts w:hint="eastAsia"/>
          <w:lang w:val="en-US" w:eastAsia="zh-CN"/>
        </w:rPr>
      </w:pPr>
      <w:r>
        <w:rPr>
          <w:rFonts w:hint="eastAsia"/>
          <w:lang w:val="en-US" w:eastAsia="zh-CN"/>
        </w:rPr>
        <w:t>2、能动量关系</w:t>
      </w:r>
    </w:p>
    <w:tbl>
      <w:tblPr>
        <w:tblStyle w:val="17"/>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jc w:val="left"/>
              <w:rPr>
                <w:rFonts w:hint="eastAsia"/>
                <w:vertAlign w:val="baseline"/>
                <w:lang w:val="en-US" w:eastAsia="zh-CN"/>
              </w:rPr>
            </w:pPr>
            <w:r>
              <w:rPr>
                <w:rFonts w:hint="eastAsia"/>
                <w:vertAlign w:val="baseline"/>
                <w:lang w:val="en-US" w:eastAsia="zh-CN"/>
              </w:rPr>
              <w:t>标号</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直径/cm</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峰道/chn</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峰面积</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时间/s</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能量(MeV)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8</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35.2</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777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2622</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7</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32.6</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692</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12804</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6</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30</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602</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33117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5</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27.5</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507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63330</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4</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25.4</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417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84947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0.980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22.9</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317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81578</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0.745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20.2</w:t>
            </w:r>
          </w:p>
        </w:tc>
        <w:tc>
          <w:tcPr>
            <w:tcW w:w="1420"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221</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51867</w:t>
            </w:r>
          </w:p>
        </w:tc>
        <w:tc>
          <w:tcPr>
            <w:tcW w:w="1421" w:type="dxa"/>
            <w:shd w:val="clear" w:color="auto" w:fill="auto"/>
            <w:textDirection w:val="lrTb"/>
            <w:vAlign w:val="bottom"/>
          </w:tcPr>
          <w:p>
            <w:pPr>
              <w:keepNext w:val="0"/>
              <w:keepLines w:val="0"/>
              <w:widowControl/>
              <w:suppressLineNumbers w:val="0"/>
              <w:jc w:val="left"/>
              <w:textAlignment w:val="bottom"/>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250</w:t>
            </w:r>
          </w:p>
        </w:tc>
        <w:tc>
          <w:tcPr>
            <w:tcW w:w="1417" w:type="dxa"/>
            <w:shd w:val="clear" w:color="auto" w:fill="auto"/>
            <w:textDirection w:val="lrTb"/>
            <w:vAlign w:val="bottom"/>
          </w:tcPr>
          <w:p>
            <w:pPr>
              <w:keepNext w:val="0"/>
              <w:keepLines w:val="0"/>
              <w:widowControl/>
              <w:suppressLineNumbers w:val="0"/>
              <w:jc w:val="left"/>
              <w:textAlignment w:val="bottom"/>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0.519</w:t>
            </w:r>
          </w:p>
        </w:tc>
      </w:tr>
    </w:tbl>
    <w:p>
      <w:pPr>
        <w:jc w:val="left"/>
        <w:rPr>
          <w:rFonts w:hint="eastAsia"/>
          <w:lang w:val="en-US" w:eastAsia="zh-CN"/>
        </w:rPr>
      </w:pPr>
      <w:r>
        <w:rPr>
          <w:rFonts w:hint="eastAsia"/>
          <w:lang w:val="en-US" w:eastAsia="zh-CN"/>
        </w:rPr>
        <w:t xml:space="preserve">如图 </w:t>
      </w:r>
      <w:r>
        <w:rPr>
          <w:rFonts w:hint="eastAsia"/>
          <w:position w:val="-12"/>
          <w:lang w:val="en-US" w:eastAsia="zh-CN"/>
        </w:rPr>
        <w:object>
          <v:shape id="_x0000_i1048" o:spt="75" type="#_x0000_t75" style="height:19pt;width:179pt;" o:ole="t" filled="f" o:preferrelative="t" stroked="f" coordsize="21600,21600">
            <v:fill on="f" focussize="0,0"/>
            <v:stroke on="f"/>
            <v:imagedata r:id="rId53" o:title=""/>
            <o:lock v:ext="edit" aspectratio="t"/>
            <w10:wrap type="none"/>
            <w10:anchorlock/>
          </v:shape>
          <o:OLEObject Type="Embed" ProgID="Equation.KSEE3" ShapeID="_x0000_i1048" DrawAspect="Content" ObjectID="_1468075743" r:id="rId52">
            <o:LockedField>false</o:LockedField>
          </o:OLEObject>
        </w:object>
      </w:r>
      <w:r>
        <w:rPr>
          <w:rFonts w:hint="eastAsia"/>
          <w:lang w:val="en-US" w:eastAsia="zh-CN"/>
        </w:rPr>
        <w:t>，平方项的系数很小，线性项占主导。</w:t>
      </w:r>
    </w:p>
    <w:p>
      <w:pPr>
        <w:jc w:val="left"/>
        <w:rPr>
          <w:rFonts w:hint="eastAsia"/>
          <w:lang w:val="en-US" w:eastAsia="zh-CN"/>
        </w:rPr>
      </w:pPr>
    </w:p>
    <w:p>
      <w:pPr>
        <w:jc w:val="left"/>
        <w:rPr>
          <w:rFonts w:hint="eastAsia"/>
          <w:lang w:val="en-US" w:eastAsia="zh-CN"/>
        </w:rPr>
      </w:pPr>
      <w:r>
        <w:rPr>
          <w:rFonts w:hint="eastAsia"/>
          <w:lang w:val="en-US" w:eastAsia="zh-CN"/>
        </w:rPr>
        <w:t>参考文献</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icon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微软雅黑 黑体 宋体">
    <w:altName w:val="宋体"/>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 w:name="Times New Roman Italic">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739B7"/>
    <w:multiLevelType w:val="singleLevel"/>
    <w:tmpl w:val="584739B7"/>
    <w:lvl w:ilvl="0" w:tentative="0">
      <w:start w:val="3"/>
      <w:numFmt w:val="decimal"/>
      <w:suff w:val="nothing"/>
      <w:lvlText w:val="%1、"/>
      <w:lvlJc w:val="left"/>
    </w:lvl>
  </w:abstractNum>
  <w:abstractNum w:abstractNumId="1">
    <w:nsid w:val="584750B9"/>
    <w:multiLevelType w:val="singleLevel"/>
    <w:tmpl w:val="584750B9"/>
    <w:lvl w:ilvl="0" w:tentative="0">
      <w:start w:val="1"/>
      <w:numFmt w:val="decimal"/>
      <w:suff w:val="nothing"/>
      <w:lvlText w:val="%1、"/>
      <w:lvlJc w:val="left"/>
    </w:lvl>
  </w:abstractNum>
  <w:abstractNum w:abstractNumId="2">
    <w:nsid w:val="584755B1"/>
    <w:multiLevelType w:val="singleLevel"/>
    <w:tmpl w:val="584755B1"/>
    <w:lvl w:ilvl="0" w:tentative="0">
      <w:start w:val="4"/>
      <w:numFmt w:val="decimal"/>
      <w:suff w:val="nothing"/>
      <w:lvlText w:val="%1、"/>
      <w:lvlJc w:val="left"/>
    </w:lvl>
  </w:abstractNum>
  <w:abstractNum w:abstractNumId="3">
    <w:nsid w:val="5847590C"/>
    <w:multiLevelType w:val="singleLevel"/>
    <w:tmpl w:val="5847590C"/>
    <w:lvl w:ilvl="0" w:tentative="0">
      <w:start w:val="1"/>
      <w:numFmt w:val="decimal"/>
      <w:suff w:val="nothing"/>
      <w:lvlText w:val="%1、"/>
      <w:lvlJc w:val="left"/>
    </w:lvl>
  </w:abstractNum>
  <w:abstractNum w:abstractNumId="4">
    <w:nsid w:val="58475DD1"/>
    <w:multiLevelType w:val="singleLevel"/>
    <w:tmpl w:val="58475DD1"/>
    <w:lvl w:ilvl="0" w:tentative="0">
      <w:start w:val="2"/>
      <w:numFmt w:val="chineseCounting"/>
      <w:suff w:val="nothing"/>
      <w:lvlText w:val="%1、"/>
      <w:lvlJc w:val="left"/>
    </w:lvl>
  </w:abstractNum>
  <w:abstractNum w:abstractNumId="5">
    <w:nsid w:val="584764FA"/>
    <w:multiLevelType w:val="singleLevel"/>
    <w:tmpl w:val="584764FA"/>
    <w:lvl w:ilvl="0" w:tentative="0">
      <w:start w:val="2"/>
      <w:numFmt w:val="chineseCounting"/>
      <w:suff w:val="nothing"/>
      <w:lvlText w:val="%1、"/>
      <w:lvlJc w:val="left"/>
    </w:lvl>
  </w:abstractNum>
  <w:abstractNum w:abstractNumId="6">
    <w:nsid w:val="58476651"/>
    <w:multiLevelType w:val="singleLevel"/>
    <w:tmpl w:val="58476651"/>
    <w:lvl w:ilvl="0" w:tentative="0">
      <w:start w:val="1"/>
      <w:numFmt w:val="decimal"/>
      <w:suff w:val="nothing"/>
      <w:lvlText w:val="%1）"/>
      <w:lvlJc w:val="left"/>
    </w:lvl>
  </w:abstractNum>
  <w:abstractNum w:abstractNumId="7">
    <w:nsid w:val="58489336"/>
    <w:multiLevelType w:val="singleLevel"/>
    <w:tmpl w:val="58489336"/>
    <w:lvl w:ilvl="0" w:tentative="0">
      <w:start w:val="1"/>
      <w:numFmt w:val="decimal"/>
      <w:suff w:val="nothing"/>
      <w:lvlText w:val="%1、"/>
      <w:lvlJc w:val="left"/>
    </w:lvl>
  </w:abstractNum>
  <w:abstractNum w:abstractNumId="8">
    <w:nsid w:val="584896E5"/>
    <w:multiLevelType w:val="singleLevel"/>
    <w:tmpl w:val="584896E5"/>
    <w:lvl w:ilvl="0" w:tentative="0">
      <w:start w:val="1"/>
      <w:numFmt w:val="decimal"/>
      <w:suff w:val="nothing"/>
      <w:lvlText w:val="%1、"/>
      <w:lvlJc w:val="left"/>
    </w:lvl>
  </w:abstractNum>
  <w:abstractNum w:abstractNumId="9">
    <w:nsid w:val="5848980D"/>
    <w:multiLevelType w:val="singleLevel"/>
    <w:tmpl w:val="5848980D"/>
    <w:lvl w:ilvl="0" w:tentative="0">
      <w:start w:val="1"/>
      <w:numFmt w:val="decimal"/>
      <w:suff w:val="nothing"/>
      <w:lvlText w:val="%1、"/>
      <w:lvlJc w:val="left"/>
    </w:lvl>
  </w:abstractNum>
  <w:num w:numId="1">
    <w:abstractNumId w:val="6"/>
  </w:num>
  <w:num w:numId="2">
    <w:abstractNumId w:val="0"/>
  </w:num>
  <w:num w:numId="3">
    <w:abstractNumId w:val="3"/>
  </w:num>
  <w:num w:numId="4">
    <w:abstractNumId w:val="5"/>
  </w:num>
  <w:num w:numId="5">
    <w:abstractNumId w:val="7"/>
  </w:num>
  <w:num w:numId="6">
    <w:abstractNumId w:val="1"/>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E15B1"/>
    <w:rsid w:val="049A178C"/>
    <w:rsid w:val="054143E6"/>
    <w:rsid w:val="06B2203A"/>
    <w:rsid w:val="0D346170"/>
    <w:rsid w:val="0E0169A5"/>
    <w:rsid w:val="1DD54145"/>
    <w:rsid w:val="20E97E28"/>
    <w:rsid w:val="21773264"/>
    <w:rsid w:val="234302F7"/>
    <w:rsid w:val="242E702E"/>
    <w:rsid w:val="2A8B4529"/>
    <w:rsid w:val="38632DB5"/>
    <w:rsid w:val="3C15397B"/>
    <w:rsid w:val="44090AAC"/>
    <w:rsid w:val="468C6387"/>
    <w:rsid w:val="4B637000"/>
    <w:rsid w:val="56E82A1E"/>
    <w:rsid w:val="64374B42"/>
    <w:rsid w:val="71241044"/>
    <w:rsid w:val="7152079E"/>
    <w:rsid w:val="71CE3E4A"/>
    <w:rsid w:val="777579E7"/>
    <w:rsid w:val="7D2052F7"/>
    <w:rsid w:val="7EDE427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Normal (Web)"/>
    <w:basedOn w:val="1"/>
    <w:uiPriority w:val="0"/>
    <w:rPr>
      <w:sz w:val="24"/>
    </w:rPr>
  </w:style>
  <w:style w:type="character" w:styleId="5">
    <w:name w:val="Strong"/>
    <w:basedOn w:val="4"/>
    <w:qFormat/>
    <w:uiPriority w:val="0"/>
    <w:rPr>
      <w:b/>
    </w:rPr>
  </w:style>
  <w:style w:type="character" w:styleId="6">
    <w:name w:val="FollowedHyperlink"/>
    <w:basedOn w:val="4"/>
    <w:uiPriority w:val="0"/>
    <w:rPr>
      <w:color w:val="555555"/>
      <w:u w:val="none"/>
    </w:rPr>
  </w:style>
  <w:style w:type="character" w:styleId="7">
    <w:name w:val="Emphasis"/>
    <w:basedOn w:val="4"/>
    <w:qFormat/>
    <w:uiPriority w:val="0"/>
    <w:rPr>
      <w:i/>
    </w:rPr>
  </w:style>
  <w:style w:type="character" w:styleId="8">
    <w:name w:val="HTML Definition"/>
    <w:basedOn w:val="4"/>
    <w:uiPriority w:val="0"/>
  </w:style>
  <w:style w:type="character" w:styleId="9">
    <w:name w:val="HTML Acronym"/>
    <w:basedOn w:val="4"/>
    <w:uiPriority w:val="0"/>
  </w:style>
  <w:style w:type="character" w:styleId="10">
    <w:name w:val="HTML Variable"/>
    <w:basedOn w:val="4"/>
    <w:uiPriority w:val="0"/>
  </w:style>
  <w:style w:type="character" w:styleId="11">
    <w:name w:val="Hyperlink"/>
    <w:basedOn w:val="4"/>
    <w:uiPriority w:val="0"/>
    <w:rPr>
      <w:color w:val="555555"/>
      <w:u w:val="none"/>
    </w:rPr>
  </w:style>
  <w:style w:type="character" w:styleId="12">
    <w:name w:val="HTML Code"/>
    <w:basedOn w:val="4"/>
    <w:qFormat/>
    <w:uiPriority w:val="0"/>
    <w:rPr>
      <w:rFonts w:hint="default" w:ascii="monospace" w:hAnsi="monospace" w:eastAsia="monospace" w:cs="monospace"/>
      <w:sz w:val="24"/>
      <w:szCs w:val="24"/>
    </w:rPr>
  </w:style>
  <w:style w:type="character" w:styleId="13">
    <w:name w:val="HTML Cite"/>
    <w:basedOn w:val="4"/>
    <w:uiPriority w:val="0"/>
  </w:style>
  <w:style w:type="character" w:styleId="14">
    <w:name w:val="HTML Keyboard"/>
    <w:basedOn w:val="4"/>
    <w:uiPriority w:val="0"/>
    <w:rPr>
      <w:rFonts w:hint="default" w:ascii="monospace" w:hAnsi="monospace" w:eastAsia="monospace" w:cs="monospace"/>
      <w:sz w:val="24"/>
      <w:szCs w:val="24"/>
    </w:rPr>
  </w:style>
  <w:style w:type="character" w:styleId="15">
    <w:name w:val="HTML Sample"/>
    <w:basedOn w:val="4"/>
    <w:uiPriority w:val="0"/>
    <w:rPr>
      <w:rFonts w:ascii="monospace" w:hAnsi="monospace" w:eastAsia="monospace" w:cs="monospace"/>
      <w:sz w:val="24"/>
      <w:szCs w:val="24"/>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my-notice"/>
    <w:basedOn w:val="4"/>
    <w:uiPriority w:val="0"/>
  </w:style>
  <w:style w:type="character" w:customStyle="1" w:styleId="19">
    <w:name w:val="my-class"/>
    <w:basedOn w:val="4"/>
    <w:uiPriority w:val="0"/>
  </w:style>
  <w:style w:type="character" w:customStyle="1" w:styleId="20">
    <w:name w:val="t-tag"/>
    <w:basedOn w:val="4"/>
    <w:uiPriority w:val="0"/>
    <w:rPr>
      <w:color w:val="FFFFFF"/>
      <w:sz w:val="18"/>
      <w:szCs w:val="18"/>
      <w:shd w:val="clear" w:fill="FE8833"/>
    </w:rPr>
  </w:style>
  <w:style w:type="character" w:customStyle="1" w:styleId="21">
    <w:name w:val="orange"/>
    <w:basedOn w:val="4"/>
    <w:uiPriority w:val="0"/>
    <w:rPr>
      <w:color w:val="3FB58F"/>
    </w:rPr>
  </w:style>
  <w:style w:type="character" w:customStyle="1" w:styleId="22">
    <w:name w:val="bds_nopic"/>
    <w:basedOn w:val="4"/>
    <w:uiPriority w:val="0"/>
  </w:style>
  <w:style w:type="character" w:customStyle="1" w:styleId="23">
    <w:name w:val="bds_nopic1"/>
    <w:basedOn w:val="4"/>
    <w:uiPriority w:val="0"/>
  </w:style>
  <w:style w:type="character" w:customStyle="1" w:styleId="24">
    <w:name w:val="bds_nopic2"/>
    <w:basedOn w:val="4"/>
    <w:uiPriority w:val="0"/>
  </w:style>
  <w:style w:type="character" w:customStyle="1" w:styleId="25">
    <w:name w:val="tip7"/>
    <w:basedOn w:val="4"/>
    <w:qFormat/>
    <w:uiPriority w:val="0"/>
    <w:rPr>
      <w:vanish/>
      <w:color w:val="FF0000"/>
      <w:sz w:val="18"/>
      <w:szCs w:val="18"/>
    </w:rPr>
  </w:style>
  <w:style w:type="character" w:customStyle="1" w:styleId="26">
    <w:name w:val="f-star"/>
    <w:basedOn w:val="4"/>
    <w:uiPriority w:val="0"/>
    <w:rPr>
      <w:color w:val="999999"/>
      <w:sz w:val="21"/>
      <w:szCs w:val="21"/>
    </w:rPr>
  </w:style>
  <w:style w:type="character" w:customStyle="1" w:styleId="27">
    <w:name w:val="ico-jiang2"/>
    <w:basedOn w:val="4"/>
    <w:uiPriority w:val="0"/>
  </w:style>
  <w:style w:type="character" w:customStyle="1" w:styleId="28">
    <w:name w:val="ico-jiang3"/>
    <w:basedOn w:val="4"/>
    <w:qFormat/>
    <w:uiPriority w:val="0"/>
  </w:style>
  <w:style w:type="character" w:customStyle="1" w:styleId="29">
    <w:name w:val="no42"/>
    <w:basedOn w:val="4"/>
    <w:qFormat/>
    <w:uiPriority w:val="0"/>
  </w:style>
  <w:style w:type="character" w:customStyle="1" w:styleId="30">
    <w:name w:val="no52"/>
    <w:basedOn w:val="4"/>
    <w:uiPriority w:val="0"/>
  </w:style>
  <w:style w:type="character" w:customStyle="1" w:styleId="31">
    <w:name w:val="no62"/>
    <w:basedOn w:val="4"/>
    <w:qFormat/>
    <w:uiPriority w:val="0"/>
  </w:style>
  <w:style w:type="character" w:customStyle="1" w:styleId="32">
    <w:name w:val="no72"/>
    <w:basedOn w:val="4"/>
    <w:uiPriority w:val="0"/>
  </w:style>
  <w:style w:type="character" w:customStyle="1" w:styleId="33">
    <w:name w:val="ui-bz-bg-hover"/>
    <w:basedOn w:val="4"/>
    <w:uiPriority w:val="0"/>
    <w:rPr>
      <w:shd w:val="clear" w:fill="000000"/>
    </w:rPr>
  </w:style>
  <w:style w:type="character" w:customStyle="1" w:styleId="34">
    <w:name w:val="ui-bz-bg-hover1"/>
    <w:basedOn w:val="4"/>
    <w:uiPriority w:val="0"/>
  </w:style>
  <w:style w:type="character" w:customStyle="1" w:styleId="35">
    <w:name w:val="top-icon"/>
    <w:basedOn w:val="4"/>
    <w:uiPriority w:val="0"/>
  </w:style>
  <w:style w:type="character" w:customStyle="1" w:styleId="36">
    <w:name w:val="bds_more"/>
    <w:basedOn w:val="4"/>
    <w:qFormat/>
    <w:uiPriority w:val="0"/>
    <w:rPr>
      <w:rFonts w:hint="eastAsia" w:ascii="宋体" w:hAnsi="宋体" w:eastAsia="宋体" w:cs="宋体"/>
    </w:rPr>
  </w:style>
  <w:style w:type="character" w:customStyle="1" w:styleId="37">
    <w:name w:val="bds_more1"/>
    <w:basedOn w:val="4"/>
    <w:uiPriority w:val="0"/>
  </w:style>
  <w:style w:type="character" w:customStyle="1" w:styleId="38">
    <w:name w:val="bds_more2"/>
    <w:basedOn w:val="4"/>
    <w:uiPriority w:val="0"/>
  </w:style>
  <w:style w:type="character" w:customStyle="1" w:styleId="39">
    <w:name w:val="org_name2"/>
    <w:basedOn w:val="4"/>
    <w:uiPriority w:val="0"/>
  </w:style>
  <w:style w:type="character" w:customStyle="1" w:styleId="40">
    <w:name w:val="org_name"/>
    <w:basedOn w:val="4"/>
    <w:uiPriority w:val="0"/>
  </w:style>
  <w:style w:type="character" w:customStyle="1" w:styleId="41">
    <w:name w:val="orange6"/>
    <w:basedOn w:val="4"/>
    <w:uiPriority w:val="0"/>
    <w:rPr>
      <w:color w:val="3FB58F"/>
    </w:rPr>
  </w:style>
  <w:style w:type="character" w:customStyle="1" w:styleId="42">
    <w:name w:val="ico-jiang"/>
    <w:basedOn w:val="4"/>
    <w:uiPriority w:val="0"/>
  </w:style>
  <w:style w:type="character" w:customStyle="1" w:styleId="43">
    <w:name w:val="no6"/>
    <w:basedOn w:val="4"/>
    <w:uiPriority w:val="0"/>
  </w:style>
  <w:style w:type="character" w:customStyle="1" w:styleId="44">
    <w:name w:val="tip"/>
    <w:basedOn w:val="4"/>
    <w:uiPriority w:val="0"/>
    <w:rPr>
      <w:vanish/>
      <w:color w:val="FF0000"/>
      <w:sz w:val="18"/>
      <w:szCs w:val="18"/>
    </w:rPr>
  </w:style>
  <w:style w:type="character" w:customStyle="1" w:styleId="45">
    <w:name w:val="my-class2"/>
    <w:basedOn w:val="4"/>
    <w:uiPriority w:val="0"/>
  </w:style>
  <w:style w:type="character" w:customStyle="1" w:styleId="46">
    <w:name w:val="ico-jiang1"/>
    <w:basedOn w:val="4"/>
    <w:uiPriority w:val="0"/>
  </w:style>
  <w:style w:type="character" w:customStyle="1" w:styleId="47">
    <w:name w:val="no4"/>
    <w:basedOn w:val="4"/>
    <w:uiPriority w:val="0"/>
  </w:style>
  <w:style w:type="character" w:customStyle="1" w:styleId="48">
    <w:name w:val="tip10"/>
    <w:basedOn w:val="4"/>
    <w:uiPriority w:val="0"/>
    <w:rPr>
      <w:vanish/>
      <w:color w:val="FF0000"/>
      <w:sz w:val="18"/>
      <w:szCs w:val="18"/>
    </w:rPr>
  </w:style>
  <w:style w:type="character" w:customStyle="1" w:styleId="49">
    <w:name w:val="tip11"/>
    <w:basedOn w:val="4"/>
    <w:qFormat/>
    <w:uiPriority w:val="0"/>
    <w:rPr>
      <w:vanish/>
      <w:color w:val="FF0000"/>
      <w:sz w:val="18"/>
      <w:szCs w:val="18"/>
    </w:rPr>
  </w:style>
  <w:style w:type="character" w:customStyle="1" w:styleId="50">
    <w:name w:val="bds_more3"/>
    <w:basedOn w:val="4"/>
    <w:uiPriority w:val="0"/>
    <w:rPr>
      <w:rFonts w:hint="eastAsia" w:ascii="宋体" w:hAnsi="宋体" w:eastAsia="宋体" w:cs="宋体"/>
    </w:rPr>
  </w:style>
  <w:style w:type="character" w:customStyle="1" w:styleId="51">
    <w:name w:val="bds_more4"/>
    <w:basedOn w:val="4"/>
    <w:qFormat/>
    <w:uiPriority w:val="0"/>
  </w:style>
  <w:style w:type="character" w:customStyle="1" w:styleId="52">
    <w:name w:val="no7"/>
    <w:basedOn w:val="4"/>
    <w:uiPriority w:val="0"/>
  </w:style>
  <w:style w:type="character" w:customStyle="1" w:styleId="53">
    <w:name w:val="orange5"/>
    <w:basedOn w:val="4"/>
    <w:qFormat/>
    <w:uiPriority w:val="0"/>
    <w:rPr>
      <w:color w:val="3FB58F"/>
    </w:rPr>
  </w:style>
  <w:style w:type="character" w:customStyle="1" w:styleId="54">
    <w:name w:val="no5"/>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1.wmf"/><Relationship Id="rId52" Type="http://schemas.openxmlformats.org/officeDocument/2006/relationships/oleObject" Target="embeddings/oleObject19.bin"/><Relationship Id="rId51" Type="http://schemas.openxmlformats.org/officeDocument/2006/relationships/image" Target="media/image30.jpeg"/><Relationship Id="rId50" Type="http://schemas.openxmlformats.org/officeDocument/2006/relationships/image" Target="media/image29.jpeg"/><Relationship Id="rId5" Type="http://schemas.openxmlformats.org/officeDocument/2006/relationships/image" Target="media/image2.png"/><Relationship Id="rId49" Type="http://schemas.openxmlformats.org/officeDocument/2006/relationships/image" Target="media/image28.wmf"/><Relationship Id="rId48" Type="http://schemas.openxmlformats.org/officeDocument/2006/relationships/oleObject" Target="embeddings/oleObject18.bin"/><Relationship Id="rId47" Type="http://schemas.openxmlformats.org/officeDocument/2006/relationships/image" Target="media/image27.wmf"/><Relationship Id="rId46" Type="http://schemas.openxmlformats.org/officeDocument/2006/relationships/oleObject" Target="embeddings/oleObject17.bin"/><Relationship Id="rId45" Type="http://schemas.openxmlformats.org/officeDocument/2006/relationships/image" Target="media/image26.wmf"/><Relationship Id="rId44" Type="http://schemas.openxmlformats.org/officeDocument/2006/relationships/oleObject" Target="embeddings/oleObject16.bin"/><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image" Target="media/image24.wmf"/><Relationship Id="rId40" Type="http://schemas.openxmlformats.org/officeDocument/2006/relationships/oleObject" Target="embeddings/oleObject14.bin"/><Relationship Id="rId4" Type="http://schemas.openxmlformats.org/officeDocument/2006/relationships/image" Target="media/image1.png"/><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11.bin"/><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谦</dc:creator>
  <cp:lastModifiedBy>谦</cp:lastModifiedBy>
  <dcterms:modified xsi:type="dcterms:W3CDTF">2016-12-07T23:48:01Z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