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939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朝阳区方案说明</w:t>
      </w:r>
    </w:p>
    <w:p w14:paraId="5F5865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村庄筛选依据</w:t>
      </w:r>
    </w:p>
    <w:p w14:paraId="34E9EE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综合考虑经济价值、改造成本与改造工作实施便利性，进行360个村庄的筛选。</w:t>
      </w:r>
    </w:p>
    <w:p w14:paraId="07C130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首先，排除路网密度或人口密度小于下四分位数的村庄（在本次方案中为路网密度＜3.06km/km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，或人口密度小于3069人/</w:t>
      </w:r>
      <w:r>
        <w:rPr>
          <w:rFonts w:hint="eastAsia"/>
          <w:lang w:val="en-US" w:eastAsia="zh-CN"/>
        </w:rPr>
        <w:t>km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的村庄</w:t>
      </w:r>
      <w:r>
        <w:rPr>
          <w:rFonts w:hint="eastAsia"/>
          <w:lang w:val="en-US" w:eastAsia="zh-CN"/>
        </w:rPr>
        <w:t>），该部分村庄交通可达性过低、人口过少，施工难度大且整体效益低，暂时不纳入此次改造范围。而后，综合考虑成本和收益，进行村庄选择。二手房价格较高的区域通常拥有更好的经济价值，优先改造这些区域能够快速实现经济效益，加速资金回笼，保证项目资金链的流动，为后续改造提供资金支持。然而，仅聚焦高经济价值的区域，会导致启动成本过高，因此，需合理配置不同经济价值的村庄，使前期成本和收益相平衡。高成本高收益：中成本中收益：低成本低收益的比例约为5：3：2，即分别选择36、22、14个村庄，以实现项目的可持续性。</w:t>
      </w:r>
    </w:p>
    <w:p w14:paraId="143767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时序确定依据</w:t>
      </w:r>
    </w:p>
    <w:p w14:paraId="4C11D9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经济效益与社会效益的平衡视角出发，计算各栅格公服设施POI与人口的供需比，优先选择供需失衡最严重的区域进行改造。这类区域的优先改造不仅能够有效解决居民的迫切需求，显著提升居民生活质量，同时能够提升区域吸引力，带动地价上涨，充分发挥经济效益。在此基础上，尽可能采用组团式更新的方式，方便方案设计、各方协商和工作实施，确保项目有序推进。</w:t>
      </w:r>
    </w:p>
    <w:p w14:paraId="625125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default"/>
          <w:b/>
          <w:bCs/>
          <w:strike w:val="0"/>
          <w:dstrike w:val="0"/>
          <w:lang w:val="en-US" w:eastAsia="zh-CN"/>
        </w:rPr>
      </w:pPr>
      <w:r>
        <w:rPr>
          <w:rFonts w:hint="eastAsia"/>
          <w:b/>
          <w:bCs/>
          <w:strike w:val="0"/>
          <w:dstrike w:val="0"/>
          <w:lang w:val="en-US" w:eastAsia="zh-CN"/>
        </w:rPr>
        <w:t>改造强度确定依据</w:t>
      </w:r>
    </w:p>
    <w:p w14:paraId="188074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jc w:val="both"/>
        <w:textAlignment w:val="auto"/>
        <w:rPr>
          <w:rFonts w:hint="default"/>
          <w:b w:val="0"/>
          <w:bCs w:val="0"/>
          <w:strike w:val="0"/>
          <w:dstrike w:val="0"/>
          <w:lang w:val="en-US" w:eastAsia="zh-CN"/>
        </w:rPr>
      </w:pPr>
      <w:r>
        <w:rPr>
          <w:rFonts w:hint="eastAsia"/>
          <w:b w:val="0"/>
          <w:bCs w:val="0"/>
          <w:strike w:val="0"/>
          <w:dstrike w:val="0"/>
          <w:lang w:val="en-US" w:eastAsia="zh-CN"/>
        </w:rPr>
        <w:t>改造强度综合考虑村庄所属栅格的人口密度、路网密度和POI供需比进行确定。针对选出的72个村庄，分别针对人口密度、路网密度、POI供需比三个指标，求取中位数，大于中位数的记为1，小于中位数的记为0，计算各村庄在三个维度上的总分。若总分为3，则对应容积率为2.2；总分为2，对应容积率为2.1；总分为1，但人口密度较高，容积率为2.0；总分为1，人口密度较低，容积率为1.9；总分为0，对应容积率为1.8。</w:t>
      </w:r>
    </w:p>
    <w:p w14:paraId="4206DD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改造方案确定依据</w:t>
      </w:r>
    </w:p>
    <w:p w14:paraId="0F24F1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公服设施供给能力与人口数量失衡最严重的30%左右的村庄，更新重点应为补充服务设施，因此，此类村庄设为设施主导型。商品房和租赁的比例参考二手房价格进行确定，二手房价格较高的区域优先建设商品房，二手房价格较低的区域优先发展公共租赁用房，价格适中的区域均衡发展。其余村</w:t>
      </w:r>
      <w:bookmarkStart w:id="0" w:name="_GoBack"/>
      <w:bookmarkEnd w:id="0"/>
      <w:r>
        <w:rPr>
          <w:rFonts w:hint="eastAsia"/>
          <w:lang w:val="en-US" w:eastAsia="zh-CN"/>
        </w:rPr>
        <w:t>庄发展规模的确定则综合考虑人口、地价、路网密度等因素。选择现状人口密度较低而可达性最高、服务设施供给能力强的区域，采用2：7：1、7：2：1、6：3：1的比例，大量引入人口，为区域发展提供动力。现状人口密度较高、通达性较高、设施相对不足的区域，采用1：6：3、2：6：3、6：1：3等比例，适当补充服务设施；现状人口密度较低，通达性相对较好的村庄适度引入人口，采用2：6：2、1：7：2、6：2：2等比例，并根据房价和租金情况确定比例。容积率高、房价较高的位置优先发展商品房，容积率一般、二手房房价较低的区域优先发展公共租赁住房，同时，根据POI供需关系，灵活调整比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96BE5"/>
    <w:multiLevelType w:val="singleLevel"/>
    <w:tmpl w:val="8DE96B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F42BA4"/>
    <w:rsid w:val="14D27BB1"/>
    <w:rsid w:val="2CCC5D3B"/>
    <w:rsid w:val="76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2025-06-05T14:17:40Z</dcterms:created>
  <dc:creator>19714</dc:creator>
  <cp:lastModifiedBy>苏琪</cp:lastModifiedBy>
  <dcterms:modified xsi:type="dcterms:W3CDTF">2025-06-05T16:12:18Z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eyJoZGlkIjoiNzI3MzdjYzMzOTNkZWJjMjkwNmNjNmUxOTczMGM5NjIiLCJ1c2VySWQiOiI2NTg4NDUzNDQifQ==</vt:lpwstr>
  </property>
  <property fmtid="{D5CDD505-2E9C-101B-9397-08002B2CF9AE}" pid="4" name="ICV">
    <vt:lpwstr>366C725345AD49EA81F6B3BBC01B4757_12</vt:lpwstr>
  </property>
</Properties>
</file>