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以下哪些是Remix IDE的插件？ （多项选择）</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MetaMask</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Solidity Compiler</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WordPress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EtherScan Contract Verification</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Solhint Linter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2.  以下这几种情况请选择更适合的工具， Truffle, 或Remix 或都可以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需要使用编辑器：</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在命令行部署项目：</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成为项目的依赖：</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插件支持：</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成为项目编译脚本的一部分：</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浏览器部署：</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部署后要和智能合约交互：</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支持单元测试：</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222222"/>
          <w:sz w:val="20"/>
          <w:szCs w:val="20"/>
          <w:highlight w:val="white"/>
        </w:rPr>
      </w:pPr>
      <w:r w:rsidDel="00000000" w:rsidR="00000000" w:rsidRPr="00000000">
        <w:rPr>
          <w:rFonts w:ascii="Arial Unicode MS" w:cs="Arial Unicode MS" w:eastAsia="Arial Unicode MS" w:hAnsi="Arial Unicode MS"/>
          <w:rtl w:val="0"/>
        </w:rPr>
        <w:t xml:space="preserve">3. ERC-721的不可互换性是由哪个</w:t>
      </w:r>
      <w:r w:rsidDel="00000000" w:rsidR="00000000" w:rsidRPr="00000000">
        <w:rPr>
          <w:rFonts w:ascii="Arial Unicode MS" w:cs="Arial Unicode MS" w:eastAsia="Arial Unicode MS" w:hAnsi="Arial Unicode MS"/>
          <w:color w:val="222222"/>
          <w:sz w:val="20"/>
          <w:szCs w:val="20"/>
          <w:highlight w:val="white"/>
          <w:rtl w:val="0"/>
        </w:rPr>
        <w:t xml:space="preserve">数据字段最直接代表的？(短回答）</w:t>
      </w:r>
    </w:p>
    <w:p w:rsidR="00000000" w:rsidDel="00000000" w:rsidP="00000000" w:rsidRDefault="00000000" w:rsidRPr="00000000" w14:paraId="00000015">
      <w:pPr>
        <w:rPr>
          <w:color w:val="222222"/>
          <w:sz w:val="20"/>
          <w:szCs w:val="20"/>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4. ERC-721标准里面的</w:t>
      </w:r>
      <w:r w:rsidDel="00000000" w:rsidR="00000000" w:rsidRPr="00000000">
        <w:rPr>
          <w:b w:val="1"/>
          <w:color w:val="111111"/>
          <w:sz w:val="23"/>
          <w:szCs w:val="23"/>
          <w:shd w:fill="eeeeff" w:val="clear"/>
          <w:rtl w:val="0"/>
        </w:rPr>
        <w:t xml:space="preserve">function</w:t>
      </w:r>
      <w:r w:rsidDel="00000000" w:rsidR="00000000" w:rsidRPr="00000000">
        <w:rPr>
          <w:color w:val="111111"/>
          <w:sz w:val="23"/>
          <w:szCs w:val="23"/>
          <w:shd w:fill="eeeeff" w:val="clear"/>
          <w:rtl w:val="0"/>
        </w:rPr>
        <w:t xml:space="preserve"> safeTransferFrom</w:t>
      </w:r>
      <w:r w:rsidDel="00000000" w:rsidR="00000000" w:rsidRPr="00000000">
        <w:rPr>
          <w:rFonts w:ascii="Arial Unicode MS" w:cs="Arial Unicode MS" w:eastAsia="Arial Unicode MS" w:hAnsi="Arial Unicode MS"/>
          <w:rtl w:val="0"/>
        </w:rPr>
        <w:t xml:space="preserve">和</w:t>
      </w:r>
      <w:r w:rsidDel="00000000" w:rsidR="00000000" w:rsidRPr="00000000">
        <w:rPr>
          <w:b w:val="1"/>
          <w:color w:val="111111"/>
          <w:sz w:val="23"/>
          <w:szCs w:val="23"/>
          <w:shd w:fill="eeeeff" w:val="clear"/>
          <w:rtl w:val="0"/>
        </w:rPr>
        <w:t xml:space="preserve">function</w:t>
      </w:r>
      <w:r w:rsidDel="00000000" w:rsidR="00000000" w:rsidRPr="00000000">
        <w:rPr>
          <w:rFonts w:ascii="Arial Unicode MS" w:cs="Arial Unicode MS" w:eastAsia="Arial Unicode MS" w:hAnsi="Arial Unicode MS"/>
          <w:color w:val="111111"/>
          <w:sz w:val="23"/>
          <w:szCs w:val="23"/>
          <w:shd w:fill="eeeeff" w:val="clear"/>
          <w:rtl w:val="0"/>
        </w:rPr>
        <w:t xml:space="preserve"> transferFrom有什么区别？ （短回答）</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5. 最早的一款ERC-721游戏叫做什么？(短回答）</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6. 请举出目前ERC-721协议标准一例NFT收藏品之外的用途？ （短回答）</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7. 在用Remix IDE部署合约的时候，如果选择“Injected Web3”，部署的RPC端点，账户和私钥是如何获取的 （短回答）</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8. 区块链浏览器是如何判断交易是和某个智能合约的哪个方法在做交互？</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答案：</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B,d,e</w:t>
      </w:r>
    </w:p>
    <w:p w:rsidR="00000000" w:rsidDel="00000000" w:rsidP="00000000" w:rsidRDefault="00000000" w:rsidRPr="00000000" w14:paraId="0000002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Remix，Truffle，Truffle，都可以，Truffle，Remix，Remix，都可以</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TokenID</w:t>
      </w:r>
    </w:p>
    <w:p w:rsidR="00000000" w:rsidDel="00000000" w:rsidP="00000000" w:rsidRDefault="00000000" w:rsidRPr="00000000" w14:paraId="0000002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安全转账会先查看收件账户或智能合约是否可以处理ERC-721类代币转账，也就是是否实现</w:t>
      </w:r>
      <w:r w:rsidDel="00000000" w:rsidR="00000000" w:rsidRPr="00000000">
        <w:rPr>
          <w:rFonts w:ascii="Roboto" w:cs="Roboto" w:eastAsia="Roboto" w:hAnsi="Roboto"/>
          <w:color w:val="282846"/>
          <w:shd w:fill="fefefe" w:val="clear"/>
          <w:rtl w:val="0"/>
        </w:rPr>
        <w:t xml:space="preserve"> </w:t>
      </w:r>
      <w:hyperlink r:id="rId6">
        <w:r w:rsidDel="00000000" w:rsidR="00000000" w:rsidRPr="00000000">
          <w:rPr>
            <w:rFonts w:ascii="Roboto" w:cs="Roboto" w:eastAsia="Roboto" w:hAnsi="Roboto"/>
            <w:color w:val="1155cc"/>
            <w:sz w:val="21"/>
            <w:szCs w:val="21"/>
            <w:u w:val="single"/>
            <w:shd w:fill="f6f6f7" w:val="clear"/>
            <w:rtl w:val="0"/>
          </w:rPr>
          <w:t xml:space="preserve">IERC721Receiver</w:t>
        </w:r>
      </w:hyperlink>
      <w:r w:rsidDel="00000000" w:rsidR="00000000" w:rsidRPr="00000000">
        <w:rPr>
          <w:rFonts w:ascii="Arial Unicode MS" w:cs="Arial Unicode MS" w:eastAsia="Arial Unicode MS" w:hAnsi="Arial Unicode MS"/>
          <w:rtl w:val="0"/>
        </w:rPr>
        <w:t xml:space="preserve"> ；普通转账不做这个检查</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CryptoKitties</w:t>
      </w:r>
    </w:p>
    <w:p w:rsidR="00000000" w:rsidDel="00000000" w:rsidP="00000000" w:rsidRDefault="00000000" w:rsidRPr="00000000" w14:paraId="0000002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Ethereum Network Domain, ENS 域名服务</w:t>
      </w:r>
    </w:p>
    <w:p w:rsidR="00000000" w:rsidDel="00000000" w:rsidP="00000000" w:rsidRDefault="00000000" w:rsidRPr="00000000" w14:paraId="0000002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Metamask会在浏览器里注入一个Web3对象，其中会包含这些信息</w:t>
      </w:r>
    </w:p>
    <w:p w:rsidR="00000000" w:rsidDel="00000000" w:rsidP="00000000" w:rsidRDefault="00000000" w:rsidRPr="00000000" w14:paraId="0000002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通过智能合约地址发出的事件，或合约ABI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openzeppelin.com/contracts/2.x/api/token/erc721#IERC721Receiv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