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E6325">
      <w:pPr>
        <w:rPr>
          <w:rStyle w:val="6"/>
          <w:rFonts w:hint="eastAsia" w:ascii="宋体" w:hAnsi="宋体" w:eastAsia="宋体" w:cs="宋体"/>
          <w:b w:val="0"/>
          <w:bCs/>
          <w:color w:val="000000"/>
          <w:sz w:val="24"/>
          <w:szCs w:val="24"/>
          <w:bdr w:val="none" w:color="auto" w:sz="0" w:space="0"/>
          <w:lang w:val="en-US" w:eastAsia="zh-CN"/>
        </w:rPr>
      </w:pPr>
      <w:r>
        <w:rPr>
          <w:rStyle w:val="6"/>
          <w:rFonts w:hint="eastAsia" w:ascii="宋体" w:hAnsi="宋体" w:eastAsia="宋体" w:cs="宋体"/>
          <w:b/>
          <w:bCs w:val="0"/>
          <w:color w:val="000000"/>
          <w:sz w:val="24"/>
          <w:szCs w:val="24"/>
          <w:bdr w:val="none" w:color="auto" w:sz="0" w:space="0"/>
          <w:lang w:val="en-US" w:eastAsia="zh-CN"/>
        </w:rPr>
        <w:t>产品名称：</w:t>
      </w:r>
      <w:r>
        <w:rPr>
          <w:rStyle w:val="6"/>
          <w:rFonts w:hint="eastAsia" w:ascii="宋体" w:hAnsi="宋体" w:eastAsia="宋体" w:cs="宋体"/>
          <w:b w:val="0"/>
          <w:bCs/>
          <w:color w:val="000000"/>
          <w:sz w:val="24"/>
          <w:szCs w:val="24"/>
          <w:bdr w:val="none" w:color="auto" w:sz="0" w:space="0"/>
          <w:lang w:val="en-US" w:eastAsia="zh-CN"/>
        </w:rPr>
        <w:t>IPAMN</w:t>
      </w:r>
    </w:p>
    <w:p w14:paraId="0A2E8CC3">
      <w:pPr>
        <w:rPr>
          <w:rStyle w:val="6"/>
          <w:rFonts w:hint="eastAsia"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  <w:lang w:val="en-US" w:eastAsia="zh-CN"/>
        </w:rPr>
      </w:pPr>
      <w:bookmarkStart w:id="0" w:name="_GoBack"/>
      <w:bookmarkEnd w:id="0"/>
    </w:p>
    <w:p w14:paraId="62575226">
      <w:pPr>
        <w:rPr>
          <w:rStyle w:val="6"/>
          <w:rFonts w:hint="eastAsia" w:ascii="宋体" w:hAnsi="宋体" w:eastAsia="宋体" w:cs="宋体"/>
          <w:b/>
          <w:bCs w:val="0"/>
          <w:color w:val="000000"/>
          <w:sz w:val="21"/>
          <w:szCs w:val="21"/>
          <w:bdr w:val="none" w:color="auto" w:sz="0" w:space="0"/>
          <w:lang w:val="en-US" w:eastAsia="zh-CN"/>
        </w:rPr>
      </w:pPr>
      <w:r>
        <w:rPr>
          <w:rStyle w:val="6"/>
          <w:rFonts w:hint="eastAsia" w:ascii="宋体" w:hAnsi="宋体" w:eastAsia="宋体" w:cs="宋体"/>
          <w:b/>
          <w:bCs w:val="0"/>
          <w:color w:val="000000"/>
          <w:sz w:val="21"/>
          <w:szCs w:val="21"/>
          <w:bdr w:val="none" w:color="auto" w:sz="0" w:space="0"/>
          <w:lang w:val="en-US" w:eastAsia="zh-CN"/>
        </w:rPr>
        <w:t>业务介绍：</w:t>
      </w:r>
    </w:p>
    <w:p w14:paraId="3E09769F">
      <w:pPr>
        <w:ind w:firstLine="420" w:firstLineChars="200"/>
        <w:rPr>
          <w:rFonts w:ascii="宋体" w:hAnsi="宋体" w:eastAsia="宋体" w:cs="宋体"/>
          <w:b w:val="0"/>
          <w:bCs/>
          <w:sz w:val="21"/>
          <w:szCs w:val="21"/>
        </w:rPr>
      </w:pPr>
      <w:r>
        <w:rPr>
          <w:rStyle w:val="6"/>
          <w:rFonts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</w:rPr>
        <w:t>IPMAN（IP Metropolitan Area Network，IP 城域网专线）</w:t>
      </w:r>
      <w:r>
        <w:rPr>
          <w:rFonts w:ascii="宋体" w:hAnsi="宋体" w:eastAsia="宋体" w:cs="宋体"/>
          <w:b w:val="0"/>
          <w:bCs/>
          <w:sz w:val="21"/>
          <w:szCs w:val="21"/>
        </w:rPr>
        <w:t>，是中国电信面向政企客户推出的</w:t>
      </w:r>
      <w:r>
        <w:rPr>
          <w:rStyle w:val="6"/>
          <w:rFonts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</w:rPr>
        <w:t>城域独享光纤互联网专线</w:t>
      </w:r>
      <w:r>
        <w:rPr>
          <w:rFonts w:ascii="宋体" w:hAnsi="宋体" w:eastAsia="宋体" w:cs="宋体"/>
          <w:b w:val="0"/>
          <w:bCs/>
          <w:sz w:val="21"/>
          <w:szCs w:val="21"/>
        </w:rPr>
        <w:t>，通过点对点光纤直连电信本地 IP 城域核心骨干网，区别于普通共享企业宽带、家用宽带、跨城 MPLS VPN，主打</w:t>
      </w:r>
      <w:r>
        <w:rPr>
          <w:rStyle w:val="6"/>
          <w:rFonts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</w:rPr>
        <w:t>同一城市内高速、低时延、高安全、对称独享带宽、多固定公网 IP</w:t>
      </w:r>
      <w:r>
        <w:rPr>
          <w:rFonts w:ascii="宋体" w:hAnsi="宋体" w:eastAsia="宋体" w:cs="宋体"/>
          <w:b w:val="0"/>
          <w:bCs/>
          <w:sz w:val="21"/>
          <w:szCs w:val="21"/>
        </w:rPr>
        <w:t>，是本地大中型企业顶级互联网接入方案。</w:t>
      </w:r>
    </w:p>
    <w:p w14:paraId="061DC122">
      <w:pPr>
        <w:ind w:firstLine="420" w:firstLineChars="200"/>
        <w:rPr>
          <w:rFonts w:ascii="宋体" w:hAnsi="宋体" w:eastAsia="宋体" w:cs="宋体"/>
          <w:b w:val="0"/>
          <w:bCs/>
          <w:sz w:val="21"/>
          <w:szCs w:val="21"/>
        </w:rPr>
      </w:pPr>
    </w:p>
    <w:p w14:paraId="13A9D8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核心技术架构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  <w:lang w:eastAsia="zh-CN"/>
        </w:rPr>
        <w:t>：</w:t>
      </w:r>
    </w:p>
    <w:p w14:paraId="3AB084E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接入方式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：纯光纤点对点独享，不共享分光资源，客户机房部署光电转换器，出 10/100M/1G/10G 以太网电口，用户端设备投入低；</w:t>
      </w:r>
    </w:p>
    <w:p w14:paraId="04B01AB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网络通道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：直连电信本地城域核心，不走普通公众互联网拥堵链路，部分区域叠加 CN2 精品出口优化国际访问；</w:t>
      </w:r>
    </w:p>
    <w:p w14:paraId="3105006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地址资源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：标配多个静态公网固定 IP，最大可扩容至 256 个，支持域名反向解析，可自建对外服务器；</w:t>
      </w:r>
    </w:p>
    <w:p w14:paraId="0793AF6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SLA 服务保障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：网络可用性 99.99%，同城时延≤5ms、低抖动、低丢包，7×24 小时政企专属运维。</w:t>
      </w:r>
    </w:p>
    <w:p w14:paraId="1DB1A9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</w:pPr>
    </w:p>
    <w:p w14:paraId="0A2412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IPMAN 核心优势</w:t>
      </w:r>
    </w:p>
    <w:p w14:paraId="049C16C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极致城域性能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 xml:space="preserve"> 同城分支互联、本地服务器访问时延极低，视频会议、实时数据库、直播推流无卡顿；独享带宽不被其他用户抢占，高峰期无降速。</w:t>
      </w:r>
    </w:p>
    <w:p w14:paraId="7607CCA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充足公网固定 IP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 xml:space="preserve"> 普通企业宽带仅 1 个 IP，IPMAN 可批量申请多公网 IP，满足官网、邮件服务器、小程序后端、游戏服务器、安防公网接入等多业务对外发布需求。</w:t>
      </w:r>
    </w:p>
    <w:p w14:paraId="3F84DC5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高安全隔离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物理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逻辑独立通道，与公众互联网底层隔离，天然抵御端口扫描、广播风暴；政企、金融、政务等涉密业务首选本地互联网专线。</w:t>
      </w:r>
    </w:p>
    <w:p w14:paraId="6DFBB5D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全业务透明承载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 xml:space="preserve"> 不限制端口、不屏蔽协议，支持 HTTP/HTTPS/FTP/数据库/视频流/ VoIP/IPsec VPN 等所有上层应用。</w:t>
      </w:r>
    </w:p>
    <w:p w14:paraId="4DC7F8F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国际访问优化（可选增值）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 xml:space="preserve"> 搭载 CN2 精品国际出口，访问海外网站、跨境 SaaS、境外服务器丢包与时延大幅优于普通互联网专线。</w:t>
      </w:r>
    </w:p>
    <w:p w14:paraId="1B2C65A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</w:p>
    <w:p w14:paraId="3F908EF1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3D7C871A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应用场景：</w:t>
      </w:r>
    </w:p>
    <w:p w14:paraId="5B4621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（一）互联网 / 数字科技行业（最核心场景）</w:t>
      </w:r>
    </w:p>
    <w:p w14:paraId="2A90754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服务器集群对外部署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 xml:space="preserve"> 企业官网、商城、小程序后端、API 接口服务器、云本地混合部署；多台服务器需独立公网 IP，IPMAN 批量 IP 完美适配，稳定承载线上交易、用户访问。</w:t>
      </w:r>
    </w:p>
    <w:p w14:paraId="6519B9C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游戏 / 直播 / 传媒文娱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 xml:space="preserve"> 游戏区服、直播推流、短视频素材上传、4K 实时演播；对称大带宽 + 低抖动，保障高清直播、多人在线游戏不卡顿；传媒大文件素材高速上传云端。</w:t>
      </w:r>
    </w:p>
    <w:p w14:paraId="0651BEA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跨境电商、外贸企业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 xml:space="preserve"> 搭配 CN2 国际精品出口，稳定访问亚马逊、独立站、海外 ERP、跨境视频会议；多 IP 用于多店铺运营，规避平台 IP 限制。</w:t>
      </w:r>
    </w:p>
    <w:p w14:paraId="3CCEF7E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IDC、算力、软件服务商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 xml:space="preserve"> 本地机房算力节点、私有云对外出口，为下游客户提供稳定网络底座。</w:t>
      </w:r>
    </w:p>
    <w:p w14:paraId="1FB497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（二）政务、公安、事业单位（高安全刚需）</w:t>
      </w:r>
    </w:p>
    <w:p w14:paraId="6FA5CAA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区级政府、街道办、政务服务中心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 xml:space="preserve"> 多政务系统并行：一网通办、政务内网对外门户、视频信访、政务云访问；物理隔离专线保障群众业务系统不间断，多 IP 区分对外公示、办事、监控业务。</w:t>
      </w:r>
    </w:p>
    <w:p w14:paraId="3CD71FB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公安、交通、城管、应急管理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 xml:space="preserve"> 全城摄像头视频流回传、应急指挥大屏、实时数据上报；极低时延保障视频监控无延迟，专线隔离杜绝监控数据泄露。</w:t>
      </w:r>
    </w:p>
    <w:p w14:paraId="5B3137C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高校、中小学、职教园区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 xml:space="preserve"> 多校区同城互联、在线教学平台、校园官网、选课系统、图书馆数字资源；上万师生并发上网，对称带宽保障线上考试、直播授课稳定。</w:t>
      </w:r>
    </w:p>
    <w:p w14:paraId="302D40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（三）金融、保险、律所（安全 + 稳定双要求）</w:t>
      </w:r>
    </w:p>
    <w:p w14:paraId="5DACB30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证券营业部、保险分公司、小额贷款、律所事务所 实时行情交易系统、客户线上投保、财务报税系统、远程法务视频；低时延保障交易无延迟，隔离专线防止客户资金、隐私数据泄露；多 IP 区分交易端、客服官网、内部 OA 外网通道。</w:t>
      </w:r>
    </w:p>
    <w:p w14:paraId="5C6BB4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（四）制造业、工厂、智能制造</w:t>
      </w:r>
    </w:p>
    <w:p w14:paraId="3691911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大型厂区、工业园区、汽车 / 电子 / 化工智造企业 工业物联网传感器数据上传、MES 生产管理系统、厂区安防监控、设备远程运维；7×24 小时不间断数据采集，独享带宽避免生产数据拥堵断连；同城多厂区通过 IPMAN 高速互通。</w:t>
      </w:r>
    </w:p>
    <w:p w14:paraId="39A3BA1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能源、水务、燃气集团 管网远程监测、智能抄表、应急调度平台，实时采集海量设备传感数据。</w:t>
      </w:r>
    </w:p>
    <w:p w14:paraId="71AC51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（五）医疗、医院、体检中心</w:t>
      </w:r>
    </w:p>
    <w:p w14:paraId="6DE482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三甲医院、连锁医疗机构、体检机构： 远程会诊 4K 高清视频、电子病历云端同步、线上挂号系统、医疗设备数据上传；低时延保障异地专家实时诊疗，专线隔离保护患者病历隐私。</w:t>
      </w:r>
    </w:p>
    <w:p w14:paraId="6CBD5B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（六）商业地产、文旅、物流仓储</w:t>
      </w:r>
    </w:p>
    <w:p w14:paraId="749DA1C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商场、酒店、景区、写字楼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 xml:space="preserve"> 全屋 WiFi 运营、客流统计摄像头、线上购票系统、酒店 PMS 管理；大带宽支撑数万游客 / 顾客同时上网。</w:t>
      </w:r>
    </w:p>
    <w:p w14:paraId="0B861DF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大型物流园区、冷链仓储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 xml:space="preserve"> 货车 GPS 实时定位、仓储 WMS 管理系统、智能货架传感器数据、快递面单云端打印；同城多仓高速数据互通。</w:t>
      </w:r>
    </w:p>
    <w:p w14:paraId="6B93DA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（七）集团总部、大型连锁企业同城多点组网</w:t>
      </w:r>
    </w:p>
    <w:p w14:paraId="73EDFA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同一城市内总部 + 多家分公司、门店： 通过 IPMAN 光纤实现</w:t>
      </w:r>
      <w:r>
        <w:rPr>
          <w:rStyle w:val="6"/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同城高速内网互通 + 统一互联网出口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，搭建企业 IPSec VPN，总部统一管控 OA、财务、ERP 系统，相比普通宽带同城互联速度提升数倍。</w:t>
      </w:r>
    </w:p>
    <w:p w14:paraId="1B6975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（八）安防、弱电集成商项目配套</w:t>
      </w:r>
    </w:p>
    <w:p w14:paraId="402E8B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智慧城市项目、园区整体智能化改造：为监控平台、智慧停车、门禁系统提供稳定公网出口，多 IP 分配给不同子系统独立上线。</w:t>
      </w:r>
    </w:p>
    <w:p w14:paraId="39EA8A3A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 w14:paraId="5CFC88BA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4A79E6"/>
    <w:multiLevelType w:val="multilevel"/>
    <w:tmpl w:val="FB4A79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49E0742"/>
    <w:multiLevelType w:val="multilevel"/>
    <w:tmpl w:val="049E07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F4205B3"/>
    <w:multiLevelType w:val="multilevel"/>
    <w:tmpl w:val="1F4205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165C2AF"/>
    <w:multiLevelType w:val="multilevel"/>
    <w:tmpl w:val="4165C2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5212987"/>
    <w:multiLevelType w:val="multilevel"/>
    <w:tmpl w:val="652129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9F11766"/>
    <w:multiLevelType w:val="multilevel"/>
    <w:tmpl w:val="79F117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E04E022"/>
    <w:multiLevelType w:val="multilevel"/>
    <w:tmpl w:val="7E04E0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6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334486"/>
    <w:rsid w:val="4563439B"/>
    <w:rsid w:val="770C71DA"/>
    <w:rsid w:val="79BA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2026-06-12T07:38:59Z</dcterms:created>
  <dc:creator>zhangj</dc:creator>
  <cp:lastModifiedBy>张洁</cp:lastModifiedBy>
  <dcterms:modified xsi:type="dcterms:W3CDTF">2026-06-12T07:58:00Z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2B457C7EB854431990124AE1A12600FB_12</vt:lpwstr>
  </property>
</Properties>
</file>