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64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关键字：</w:t>
      </w:r>
    </w:p>
    <w:p w14:paraId="30D36CA4">
      <w:pPr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沃专线、精品 DIA 专线、金牌互联网专线、联通高端独享专线、OTN 硬管道专线、CNCNet 精品专线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</w:rPr>
        <w:t>全程物理独享、OTN 全光传输、独立纤芯隔离、上下行对称、双路由冗余备份、99.99% 高可用、2 小时故障上门、SLA 服务等级协议、低时延低丢包、骨干核心层直连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</w:rPr>
        <w:t>批量静态公网 IP、最高 256 个公网 IP、网段分配、域名反向解析、服务器集群部署、IDC 机房对接、多外网业务承载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</w:rPr>
        <w:t>是联通政企最高等级互联网接入产品。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0382E"/>
    <w:rsid w:val="7D7A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2026-06-17T09:27:28Z</dcterms:created>
  <dc:creator>zhangj</dc:creator>
  <cp:lastModifiedBy>张洁</cp:lastModifiedBy>
  <dcterms:modified xsi:type="dcterms:W3CDTF">2026-06-17T09:29:05Z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445A4062D3454BCA8135CB4E11BA1A0E_12</vt:lpwstr>
  </property>
</Properties>
</file>