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44B50">
      <w:pPr>
        <w:rPr>
          <w:rFonts w:hint="eastAsia" w:ascii="微软雅黑" w:hAnsi="微软雅黑" w:eastAsia="微软雅黑" w:cs="微软雅黑"/>
          <w:b w:val="0"/>
          <w:bCs w:val="0"/>
          <w:color w:val="000000"/>
          <w:sz w:val="40"/>
          <w:szCs w:val="40"/>
          <w:lang w:val="en-US" w:eastAsia="zh-CN"/>
        </w:rPr>
      </w:pPr>
      <w:r>
        <w:rPr>
          <w:rFonts w:hint="eastAsia" w:ascii="微软雅黑" w:hAnsi="微软雅黑" w:eastAsia="微软雅黑" w:cs="微软雅黑"/>
          <w:b w:val="0"/>
          <w:bCs w:val="0"/>
          <w:color w:val="000000"/>
          <w:sz w:val="40"/>
          <w:szCs w:val="40"/>
          <w:lang w:val="en-US" w:eastAsia="zh-CN"/>
        </w:rPr>
        <w:t>本地IPRAN</w:t>
      </w:r>
    </w:p>
    <w:p w14:paraId="45BE9D63">
      <w:pPr>
        <w:rPr>
          <w:rFonts w:hint="default" w:ascii="微软雅黑" w:hAnsi="微软雅黑" w:eastAsia="微软雅黑" w:cs="微软雅黑"/>
          <w:b w:val="0"/>
          <w:bCs w:val="0"/>
          <w:color w:val="000000"/>
          <w:sz w:val="40"/>
          <w:szCs w:val="40"/>
          <w:lang w:val="en-US" w:eastAsia="zh-CN"/>
        </w:rPr>
      </w:pPr>
      <w:r>
        <w:rPr>
          <w:rFonts w:hint="eastAsia" w:ascii="微软雅黑" w:hAnsi="微软雅黑" w:eastAsia="微软雅黑" w:cs="微软雅黑"/>
          <w:b w:val="0"/>
          <w:bCs w:val="0"/>
          <w:color w:val="000000"/>
          <w:sz w:val="40"/>
          <w:szCs w:val="40"/>
          <w:lang w:val="en-US" w:eastAsia="zh-CN"/>
        </w:rPr>
        <w:t>产品介绍</w:t>
      </w:r>
    </w:p>
    <w:p w14:paraId="5441B120">
      <w:pPr>
        <w:ind w:firstLine="480" w:firstLineChars="200"/>
        <w:rPr>
          <w:rFonts w:ascii="微软雅黑" w:hAnsi="微软雅黑" w:eastAsia="微软雅黑" w:cs="微软雅黑"/>
          <w:b w:val="0"/>
          <w:bCs w:val="0"/>
          <w:color w:val="000000"/>
          <w:sz w:val="24"/>
          <w:szCs w:val="24"/>
        </w:rPr>
      </w:pPr>
      <w:r>
        <w:rPr>
          <w:rFonts w:ascii="微软雅黑" w:hAnsi="微软雅黑" w:eastAsia="微软雅黑" w:cs="微软雅黑"/>
          <w:b w:val="0"/>
          <w:bCs w:val="0"/>
          <w:color w:val="000000"/>
          <w:sz w:val="24"/>
          <w:szCs w:val="24"/>
        </w:rPr>
        <w:t>依托中国电信IP RAN网络，为客户提供灵活业 务接入、灵活带宽、高可靠性及端到端管理的二层 以太专线产品。</w:t>
      </w:r>
    </w:p>
    <w:p w14:paraId="425BE83A">
      <w:pPr>
        <w:ind w:firstLine="480" w:firstLineChars="200"/>
        <w:rPr>
          <w:rFonts w:ascii="微软雅黑" w:hAnsi="微软雅黑" w:eastAsia="微软雅黑" w:cs="微软雅黑"/>
          <w:b w:val="0"/>
          <w:bCs w:val="0"/>
          <w:color w:val="000000"/>
          <w:sz w:val="24"/>
          <w:szCs w:val="24"/>
        </w:rPr>
      </w:pPr>
    </w:p>
    <w:p w14:paraId="26B13989">
      <w:pPr>
        <w:rPr>
          <w:rFonts w:hint="eastAsia" w:ascii="微软雅黑" w:hAnsi="微软雅黑" w:eastAsia="微软雅黑" w:cs="微软雅黑"/>
          <w:b w:val="0"/>
          <w:bCs w:val="0"/>
          <w:color w:val="000000"/>
          <w:sz w:val="40"/>
          <w:szCs w:val="40"/>
          <w:lang w:val="en-US" w:eastAsia="zh-CN"/>
        </w:rPr>
      </w:pPr>
      <w:r>
        <w:rPr>
          <w:rFonts w:hint="eastAsia" w:ascii="微软雅黑" w:hAnsi="微软雅黑" w:eastAsia="微软雅黑" w:cs="微软雅黑"/>
          <w:b w:val="0"/>
          <w:bCs w:val="0"/>
          <w:color w:val="000000"/>
          <w:sz w:val="40"/>
          <w:szCs w:val="40"/>
          <w:lang w:val="en-US" w:eastAsia="zh-CN"/>
        </w:rPr>
        <w:t>产品类型</w:t>
      </w:r>
    </w:p>
    <w:p w14:paraId="10AEBAA2">
      <w:pPr>
        <w:ind w:firstLine="480" w:firstLineChars="200"/>
        <w:rPr>
          <w:rFonts w:hint="eastAsia" w:ascii="微软雅黑" w:hAnsi="微软雅黑" w:eastAsia="微软雅黑" w:cs="微软雅黑"/>
          <w:b w:val="0"/>
          <w:bCs w:val="0"/>
          <w:color w:val="000000"/>
          <w:sz w:val="24"/>
          <w:szCs w:val="24"/>
        </w:rPr>
      </w:pPr>
      <w:r>
        <w:rPr>
          <w:rFonts w:hint="eastAsia" w:ascii="微软雅黑" w:hAnsi="微软雅黑" w:eastAsia="微软雅黑" w:cs="微软雅黑"/>
          <w:b w:val="0"/>
          <w:bCs w:val="0"/>
          <w:color w:val="000000"/>
          <w:sz w:val="24"/>
          <w:szCs w:val="24"/>
        </w:rPr>
        <w:t xml:space="preserve">普通型：中国电信提供客户站点之间的二层以太专线服务。其组网拓扑可分为点到点(透传客户以太网数据帧)和点到多点（以太网树型业务） </w:t>
      </w:r>
    </w:p>
    <w:p w14:paraId="18B531A0">
      <w:pPr>
        <w:ind w:firstLine="480" w:firstLineChars="200"/>
        <w:rPr>
          <w:rFonts w:hint="eastAsia" w:ascii="微软雅黑" w:hAnsi="微软雅黑" w:eastAsia="微软雅黑" w:cs="微软雅黑"/>
          <w:b w:val="0"/>
          <w:bCs w:val="0"/>
          <w:color w:val="000000"/>
          <w:sz w:val="24"/>
          <w:szCs w:val="24"/>
        </w:rPr>
      </w:pPr>
      <w:r>
        <w:rPr>
          <w:rFonts w:hint="eastAsia" w:ascii="微软雅黑" w:hAnsi="微软雅黑" w:eastAsia="微软雅黑" w:cs="微软雅黑"/>
          <w:b w:val="0"/>
          <w:bCs w:val="0"/>
          <w:color w:val="000000"/>
          <w:sz w:val="24"/>
          <w:szCs w:val="24"/>
        </w:rPr>
        <w:t>云网融合型：中国电信向客户提供从客户站点到云资源池站点的二层以太专线服务</w:t>
      </w:r>
    </w:p>
    <w:p w14:paraId="341CF78E">
      <w:pPr>
        <w:ind w:firstLine="480" w:firstLineChars="200"/>
        <w:rPr>
          <w:rFonts w:hint="eastAsia" w:ascii="微软雅黑" w:hAnsi="微软雅黑" w:eastAsia="微软雅黑" w:cs="微软雅黑"/>
          <w:b w:val="0"/>
          <w:bCs w:val="0"/>
          <w:color w:val="000000"/>
          <w:sz w:val="24"/>
          <w:szCs w:val="24"/>
        </w:rPr>
      </w:pPr>
    </w:p>
    <w:p w14:paraId="508A35CC">
      <w:pPr>
        <w:rPr>
          <w:rFonts w:hint="eastAsia" w:ascii="微软雅黑" w:hAnsi="微软雅黑" w:eastAsia="微软雅黑" w:cs="微软雅黑"/>
          <w:b w:val="0"/>
          <w:bCs w:val="0"/>
          <w:color w:val="000000"/>
          <w:sz w:val="40"/>
          <w:szCs w:val="40"/>
          <w:lang w:val="en-US" w:eastAsia="zh-CN"/>
        </w:rPr>
      </w:pPr>
      <w:r>
        <w:rPr>
          <w:rFonts w:hint="eastAsia" w:ascii="微软雅黑" w:hAnsi="微软雅黑" w:eastAsia="微软雅黑" w:cs="微软雅黑"/>
          <w:b w:val="0"/>
          <w:bCs w:val="0"/>
          <w:color w:val="000000"/>
          <w:sz w:val="40"/>
          <w:szCs w:val="40"/>
          <w:lang w:val="en-US" w:eastAsia="zh-CN"/>
        </w:rPr>
        <w:t>产品特点</w:t>
      </w:r>
    </w:p>
    <w:p w14:paraId="09CBDDAE">
      <w:pPr>
        <w:rPr>
          <w:rFonts w:hint="eastAsia" w:ascii="微软雅黑" w:hAnsi="微软雅黑" w:eastAsia="微软雅黑" w:cs="微软雅黑"/>
          <w:b w:val="0"/>
          <w:bCs w:val="0"/>
          <w:color w:val="000000"/>
          <w:sz w:val="24"/>
          <w:szCs w:val="24"/>
        </w:rPr>
      </w:pPr>
      <w:r>
        <w:rPr>
          <w:rFonts w:hint="eastAsia" w:ascii="微软雅黑" w:hAnsi="微软雅黑" w:eastAsia="微软雅黑" w:cs="微软雅黑"/>
          <w:b w:val="0"/>
          <w:bCs w:val="0"/>
          <w:color w:val="000000"/>
          <w:sz w:val="24"/>
          <w:szCs w:val="24"/>
        </w:rPr>
        <w:t>开通速度快：客户无需协调多个厂商开通</w:t>
      </w:r>
    </w:p>
    <w:p w14:paraId="69B8CC2E">
      <w:pPr>
        <w:rPr>
          <w:rFonts w:hint="eastAsia" w:ascii="微软雅黑" w:hAnsi="微软雅黑" w:eastAsia="微软雅黑" w:cs="微软雅黑"/>
          <w:b w:val="0"/>
          <w:bCs w:val="0"/>
          <w:color w:val="000000"/>
          <w:sz w:val="24"/>
          <w:szCs w:val="24"/>
        </w:rPr>
      </w:pPr>
      <w:r>
        <w:rPr>
          <w:rFonts w:hint="eastAsia" w:ascii="微软雅黑" w:hAnsi="微软雅黑" w:eastAsia="微软雅黑" w:cs="微软雅黑"/>
          <w:b w:val="0"/>
          <w:bCs w:val="0"/>
          <w:color w:val="000000"/>
          <w:sz w:val="24"/>
          <w:szCs w:val="24"/>
        </w:rPr>
        <w:t>扩容成本低：增加一个云，无需物理施工建设</w:t>
      </w:r>
    </w:p>
    <w:p w14:paraId="27CDC19B">
      <w:pPr>
        <w:rPr>
          <w:rFonts w:hint="eastAsia" w:ascii="微软雅黑" w:hAnsi="微软雅黑" w:eastAsia="微软雅黑" w:cs="微软雅黑"/>
          <w:b w:val="0"/>
          <w:bCs w:val="0"/>
          <w:color w:val="000000"/>
          <w:sz w:val="24"/>
          <w:szCs w:val="24"/>
        </w:rPr>
      </w:pPr>
      <w:r>
        <w:rPr>
          <w:rFonts w:hint="eastAsia" w:ascii="微软雅黑" w:hAnsi="微软雅黑" w:eastAsia="微软雅黑" w:cs="微软雅黑"/>
          <w:b w:val="0"/>
          <w:bCs w:val="0"/>
          <w:color w:val="000000"/>
          <w:sz w:val="24"/>
          <w:szCs w:val="24"/>
        </w:rPr>
        <w:t>传输有保障： IPRAN二层电路透传，与互联网隔离， 杜绝 DDOS、黑客入侵。</w:t>
      </w:r>
    </w:p>
    <w:p w14:paraId="78675853">
      <w:pPr>
        <w:rPr>
          <w:rFonts w:hint="eastAsia" w:ascii="微软雅黑" w:hAnsi="微软雅黑" w:eastAsia="微软雅黑" w:cs="微软雅黑"/>
          <w:b w:val="0"/>
          <w:bCs w:val="0"/>
          <w:color w:val="000000"/>
          <w:sz w:val="24"/>
          <w:szCs w:val="24"/>
        </w:rPr>
      </w:pPr>
      <w:r>
        <w:rPr>
          <w:rFonts w:hint="eastAsia" w:ascii="微软雅黑" w:hAnsi="微软雅黑" w:eastAsia="微软雅黑" w:cs="微软雅黑"/>
          <w:b w:val="0"/>
          <w:bCs w:val="0"/>
          <w:color w:val="000000"/>
          <w:sz w:val="24"/>
          <w:szCs w:val="24"/>
        </w:rPr>
        <w:t>支撑能力强：一点接应</w:t>
      </w:r>
    </w:p>
    <w:p w14:paraId="58DE6FD4">
      <w:pPr>
        <w:rPr>
          <w:rFonts w:hint="eastAsia" w:ascii="微软雅黑" w:hAnsi="微软雅黑" w:eastAsia="微软雅黑" w:cs="微软雅黑"/>
          <w:b w:val="0"/>
          <w:bCs w:val="0"/>
          <w:color w:val="000000"/>
          <w:sz w:val="24"/>
          <w:szCs w:val="24"/>
        </w:rPr>
      </w:pPr>
    </w:p>
    <w:p w14:paraId="04C2C7D4">
      <w:pPr>
        <w:rPr>
          <w:rFonts w:hint="eastAsia" w:ascii="微软雅黑" w:hAnsi="微软雅黑" w:eastAsia="微软雅黑" w:cs="微软雅黑"/>
          <w:b w:val="0"/>
          <w:bCs w:val="0"/>
          <w:color w:val="000000"/>
          <w:sz w:val="40"/>
          <w:szCs w:val="40"/>
          <w:lang w:val="en-US" w:eastAsia="zh-CN"/>
        </w:rPr>
      </w:pPr>
      <w:r>
        <w:rPr>
          <w:rFonts w:hint="eastAsia" w:ascii="微软雅黑" w:hAnsi="微软雅黑" w:eastAsia="微软雅黑" w:cs="微软雅黑"/>
          <w:b w:val="0"/>
          <w:bCs w:val="0"/>
          <w:color w:val="000000"/>
          <w:sz w:val="40"/>
          <w:szCs w:val="40"/>
          <w:lang w:val="en-US" w:eastAsia="zh-CN"/>
        </w:rPr>
        <w:t>应用场景</w:t>
      </w:r>
    </w:p>
    <w:p w14:paraId="4C8AC011">
      <w:pPr>
        <w:rPr>
          <w:rFonts w:hint="eastAsia" w:ascii="微软雅黑" w:hAnsi="微软雅黑" w:eastAsia="微软雅黑" w:cs="微软雅黑"/>
          <w:b w:val="0"/>
          <w:bCs w:val="0"/>
          <w:color w:val="000000"/>
          <w:sz w:val="24"/>
          <w:szCs w:val="24"/>
        </w:rPr>
      </w:pPr>
      <w:r>
        <w:rPr>
          <w:rFonts w:hint="eastAsia" w:ascii="微软雅黑" w:hAnsi="微软雅黑" w:eastAsia="微软雅黑" w:cs="微软雅黑"/>
          <w:b w:val="0"/>
          <w:bCs w:val="0"/>
          <w:color w:val="000000"/>
          <w:sz w:val="24"/>
          <w:szCs w:val="24"/>
        </w:rPr>
        <w:t>以多云（公/私/混合云）为主的IT基础架构</w:t>
      </w:r>
      <w:bookmarkStart w:id="0" w:name="_GoBack"/>
      <w:bookmarkEnd w:id="0"/>
    </w:p>
    <w:p w14:paraId="58955E16">
      <w:pPr>
        <w:rPr>
          <w:rFonts w:hint="default" w:ascii="微软雅黑" w:hAnsi="微软雅黑" w:eastAsia="微软雅黑" w:cs="微软雅黑"/>
          <w:b w:val="0"/>
          <w:bCs w:val="0"/>
          <w:color w:val="000000"/>
          <w:sz w:val="24"/>
          <w:szCs w:val="24"/>
          <w:lang w:val="en-US" w:eastAsia="zh-CN"/>
        </w:rPr>
      </w:pPr>
      <w:r>
        <w:rPr>
          <w:rFonts w:hint="eastAsia" w:ascii="微软雅黑" w:hAnsi="微软雅黑" w:eastAsia="微软雅黑" w:cs="微软雅黑"/>
          <w:b w:val="0"/>
          <w:bCs w:val="0"/>
          <w:color w:val="000000"/>
          <w:sz w:val="24"/>
          <w:szCs w:val="24"/>
        </w:rPr>
        <w:t>行业：党政军、金融、工业制造、新零售、互联网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0F54C5"/>
    <w:rsid w:val="445709AF"/>
    <w:rsid w:val="7A0F5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2026-06-12T07:16:00Z</dcterms:created>
  <dc:creator>蔡丽丽</dc:creator>
  <cp:lastModifiedBy>蔡丽丽</cp:lastModifiedBy>
  <dcterms:modified xsi:type="dcterms:W3CDTF">2026-06-12T07:29:14Z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2B5F69ACD7B04F26A3E948B49C4B0250_11</vt:lpwstr>
  </property>
  <property fmtid="{D5CDD505-2E9C-101B-9397-08002B2CF9AE}" pid="4" name="KSOTemplateDocerSaveRecord">
    <vt:lpwstr>eyJoZGlkIjoiYjFlYmFkZTMwOWQyOTU5MjM2YTkyYmY4N2YxY2E2ZjIiLCJ1c2VySWQiOiI0NjI1NTAwNzEifQ==</vt:lpwstr>
  </property>
</Properties>
</file>