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0B7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</w:t>
      </w:r>
    </w:p>
    <w:p w14:paraId="7F907BC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上下行对称带宽、独享带宽、静态公网 IPv4、固定公网IP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</w:t>
      </w:r>
      <w:r>
        <w:rPr>
          <w:rFonts w:ascii="宋体" w:hAnsi="宋体" w:eastAsia="宋体" w:cs="宋体"/>
          <w:sz w:val="24"/>
          <w:szCs w:val="24"/>
        </w:rPr>
        <w:t>、IP地址扩容、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5个免费可用IP地址、</w:t>
      </w:r>
      <w:r>
        <w:rPr>
          <w:rFonts w:ascii="宋体" w:hAnsi="宋体" w:eastAsia="宋体" w:cs="宋体"/>
          <w:sz w:val="24"/>
          <w:szCs w:val="24"/>
        </w:rPr>
        <w:t>域名反向解析、公网端口开放、带宽弹性扩容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同时使用终端超过50台，人数50到100、开80/8080/443端口、ICP备案、1元手机卡</w:t>
      </w:r>
    </w:p>
    <w:p w14:paraId="119CF8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4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2026-06-12T07:21:50Z</dcterms:created>
  <dc:creator>zhangj</dc:creator>
  <cp:lastModifiedBy>张洁</cp:lastModifiedBy>
  <dcterms:modified xsi:type="dcterms:W3CDTF">2026-06-12T07:21:54Z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6E5E6613FF344B49B94EE020067CF222_12</vt:lpwstr>
  </property>
</Properties>
</file>