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实验八 事务处理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理解事务提交、回滚和隔离级别的作用。</w:t>
      </w:r>
    </w:p>
    <w:p>
      <w:pPr>
        <w:spacing w:after="80"/>
      </w:pPr>
      <w:r>
        <w:rPr>
          <w:rFonts w:ascii="宋体" w:hAnsi="宋体" w:eastAsia="宋体"/>
          <w:b w:val="0"/>
          <w:sz w:val="22"/>
        </w:rPr>
        <w:t>2. 掌握START TRANSACTION、COMMIT以及多连接并发验证方法。</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8.0.41，OrderDB数据库。</w:t>
      </w:r>
    </w:p>
    <w:p>
      <w:pPr>
        <w:spacing w:after="80"/>
      </w:pPr>
      <w:r>
        <w:rPr>
          <w:rFonts w:ascii="宋体" w:hAnsi="宋体" w:eastAsia="宋体"/>
          <w:b w:val="0"/>
          <w:sz w:val="22"/>
        </w:rPr>
        <w:t>3. mysql命令行客户端、PowerShell、Python、PyMySQL。</w:t>
      </w:r>
    </w:p>
    <w:p>
      <w:pPr>
        <w:spacing w:before="120" w:after="120"/>
      </w:pPr>
      <w:r>
        <w:rPr>
          <w:rFonts w:ascii="宋体" w:hAnsi="宋体" w:eastAsia="宋体"/>
          <w:b/>
          <w:sz w:val="24"/>
        </w:rPr>
        <w:t>三、实验内容：</w:t>
      </w:r>
    </w:p>
    <w:p>
      <w:pPr>
        <w:spacing w:after="80"/>
      </w:pPr>
      <w:r>
        <w:rPr>
          <w:rFonts w:ascii="宋体" w:hAnsi="宋体" w:eastAsia="宋体"/>
          <w:b/>
          <w:sz w:val="22"/>
        </w:rPr>
        <w:t>1.1  事务提交</w:t>
      </w:r>
    </w:p>
    <w:p>
      <w:pPr>
        <w:spacing w:after="80"/>
      </w:pPr>
      <w:r>
        <w:rPr>
          <w:rFonts w:ascii="宋体" w:hAnsi="宋体" w:eastAsia="宋体"/>
          <w:b w:val="0"/>
          <w:sz w:val="22"/>
        </w:rPr>
        <w:t>定义事务注册新客户，并定义事务登记2022年8月16日的新订单，新订单享受2%优惠。</w:t>
      </w:r>
    </w:p>
    <w:p>
      <w:pPr>
        <w:spacing w:after="80"/>
      </w:pPr>
      <w:r>
        <w:rPr>
          <w:rFonts w:ascii="宋体" w:hAnsi="宋体" w:eastAsia="宋体"/>
          <w:b/>
          <w:sz w:val="22"/>
        </w:rPr>
        <w:t>1.2  事务更新</w:t>
      </w:r>
    </w:p>
    <w:p>
      <w:pPr>
        <w:spacing w:after="80"/>
      </w:pPr>
      <w:r>
        <w:rPr>
          <w:rFonts w:ascii="宋体" w:hAnsi="宋体" w:eastAsia="宋体"/>
          <w:b w:val="0"/>
          <w:sz w:val="22"/>
        </w:rPr>
        <w:t>定义事务处理业务员E2020003离职，解除订单引用后删除员工信息。</w:t>
      </w:r>
    </w:p>
    <w:p>
      <w:pPr>
        <w:spacing w:after="80"/>
      </w:pPr>
      <w:r>
        <w:rPr>
          <w:rFonts w:ascii="宋体" w:hAnsi="宋体" w:eastAsia="宋体"/>
          <w:b/>
          <w:sz w:val="22"/>
        </w:rPr>
        <w:t>1.3  隔离级别</w:t>
      </w:r>
    </w:p>
    <w:p>
      <w:pPr>
        <w:spacing w:after="80"/>
      </w:pPr>
      <w:r>
        <w:rPr>
          <w:rFonts w:ascii="宋体" w:hAnsi="宋体" w:eastAsia="宋体"/>
          <w:b w:val="0"/>
          <w:sz w:val="22"/>
        </w:rPr>
        <w:t>通过两个数据库连接模拟T1查询平均薪水、T2插入新员工并提交，比较READ COMMITTED和REPEATABLE READ效果。</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D:\sandbox\MYSQL_homework\sql\08_transactions.sql；D:\sandbox\MYSQL_homework\scripts\run_transaction_isolation_demo.py</w:t>
      </w:r>
    </w:p>
    <w:p>
      <w:pPr>
        <w:spacing w:after="80"/>
      </w:pPr>
      <w:r>
        <w:rPr>
          <w:rFonts w:ascii="宋体" w:hAnsi="宋体" w:eastAsia="宋体"/>
          <w:b/>
          <w:sz w:val="22"/>
        </w:rPr>
        <w:t>1.2  运行结果</w:t>
      </w:r>
    </w:p>
    <w:p>
      <w:pPr>
        <w:spacing w:after="80"/>
      </w:pPr>
      <w:r>
        <w:rPr>
          <w:rFonts w:ascii="宋体" w:hAnsi="宋体" w:eastAsia="宋体"/>
          <w:b w:val="0"/>
          <w:sz w:val="22"/>
        </w:rPr>
        <w:t>新客户、新订单和离职处理事务执行成功；并发演示显示不同隔离级别下两次读取结果不同。</w:t>
      </w:r>
    </w:p>
    <w:p>
      <w:pPr>
        <w:spacing w:after="80"/>
      </w:pPr>
      <w:r>
        <w:rPr>
          <w:rFonts w:ascii="宋体" w:hAnsi="宋体" w:eastAsia="宋体"/>
          <w:b/>
          <w:sz w:val="22"/>
        </w:rPr>
        <w:t>运行截图 8.1：</w:t>
      </w:r>
    </w:p>
    <w:p>
      <w:pPr>
        <w:jc w:val="center"/>
      </w:pPr>
      <w:r>
        <w:drawing>
          <wp:inline xmlns:a="http://schemas.openxmlformats.org/drawingml/2006/main" xmlns:pic="http://schemas.openxmlformats.org/drawingml/2006/picture">
            <wp:extent cx="5669280" cy="6929120"/>
            <wp:docPr id="1" name="Picture 1"/>
            <wp:cNvGraphicFramePr>
              <a:graphicFrameLocks noChangeAspect="1"/>
            </wp:cNvGraphicFramePr>
            <a:graphic>
              <a:graphicData uri="http://schemas.openxmlformats.org/drawingml/2006/picture">
                <pic:pic>
                  <pic:nvPicPr>
                    <pic:cNvPr id="0" name="experiment_08.png"/>
                    <pic:cNvPicPr/>
                  </pic:nvPicPr>
                  <pic:blipFill>
                    <a:blip r:embed="rId9"/>
                    <a:stretch>
                      <a:fillRect/>
                    </a:stretch>
                  </pic:blipFill>
                  <pic:spPr>
                    <a:xfrm>
                      <a:off x="0" y="0"/>
                      <a:ext cx="5669280" cy="6929120"/>
                    </a:xfrm>
                    <a:prstGeom prst="rect"/>
                  </pic:spPr>
                </pic:pic>
              </a:graphicData>
            </a:graphic>
          </wp:inline>
        </w:drawing>
      </w:r>
    </w:p>
    <w:p>
      <w:pPr>
        <w:spacing w:after="80"/>
      </w:pPr>
      <w:r>
        <w:rPr>
          <w:rFonts w:ascii="宋体" w:hAnsi="宋体" w:eastAsia="宋体"/>
          <w:b/>
          <w:sz w:val="22"/>
        </w:rPr>
        <w:t>运行截图 8.2：</w:t>
      </w:r>
    </w:p>
    <w:p>
      <w:pPr>
        <w:jc w:val="center"/>
      </w:pPr>
      <w:r>
        <w:drawing>
          <wp:inline xmlns:a="http://schemas.openxmlformats.org/drawingml/2006/main" xmlns:pic="http://schemas.openxmlformats.org/drawingml/2006/picture">
            <wp:extent cx="5669280" cy="6929120"/>
            <wp:docPr id="2" name="Picture 2"/>
            <wp:cNvGraphicFramePr>
              <a:graphicFrameLocks noChangeAspect="1"/>
            </wp:cNvGraphicFramePr>
            <a:graphic>
              <a:graphicData uri="http://schemas.openxmlformats.org/drawingml/2006/picture">
                <pic:pic>
                  <pic:nvPicPr>
                    <pic:cNvPr id="0" name="experiment_09.png"/>
                    <pic:cNvPicPr/>
                  </pic:nvPicPr>
                  <pic:blipFill>
                    <a:blip r:embed="rId10"/>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事务隔离级别会影响同一事务内多次查询能否看到其他事务提交的数据，实际应用中需要根据一致性要求选择合适级别。</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