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480"/>
              <w:left w:type="dxa" w:w="480"/>
              <w:bottom w:type="dxa" w:w="480"/>
              <w:right w:type="dxa" w:w="480"/>
            </w:tcMar>
          </w:tcPr>
          <w:p>
            <w:pPr>
              <w:jc w:val="center"/>
            </w:pPr>
            <w:r>
              <w:rPr>
                <w:rFonts w:ascii="Arial" w:cs="Arial" w:eastAsia="Arial" w:hAnsi="Arial"/>
                <w:b/>
                <w:bCs/>
                <w:color w:val="FFFFFF"/>
                <w:sz w:val="52"/>
                <w:szCs w:val="52"/>
              </w:rPr>
              <w:t xml:space="preserve">طبيبي  |  Tabibi</w:t>
            </w:r>
          </w:p>
          <w:p>
            <w:pPr>
              <w:jc w:val="center"/>
            </w:pPr>
            <w:r>
              <w:rPr>
                <w:rFonts w:ascii="Arial" w:cs="Arial" w:eastAsia="Arial" w:hAnsi="Arial"/>
                <w:b w:val="false"/>
                <w:bCs w:val="false"/>
                <w:color w:val="BFD7FF"/>
                <w:sz w:val="34"/>
                <w:szCs w:val="34"/>
              </w:rPr>
              <w:t xml:space="preserve">Deep Codebase Audit Report</w:t>
            </w:r>
          </w:p>
          <w:p>
            <w:pPr>
              <w:spacing w:before="120"/>
              <w:jc w:val="center"/>
            </w:pPr>
            <w:r>
              <w:rPr>
                <w:rFonts w:ascii="Arial" w:cs="Arial" w:eastAsia="Arial" w:hAnsi="Arial"/>
                <w:color w:val="9EC5FE"/>
                <w:sz w:val="24"/>
                <w:szCs w:val="24"/>
              </w:rPr>
              <w:t xml:space="preserve">Weaknesses, Bugs &amp; Improvement Roadmap</w:t>
            </w:r>
          </w:p>
          <w:p>
            <w:pPr>
              <w:spacing w:before="240"/>
              <w:jc w:val="center"/>
            </w:pPr>
            <w:r>
              <w:rPr>
                <w:rFonts w:ascii="Arial" w:cs="Arial" w:eastAsia="Arial" w:hAnsi="Arial"/>
                <w:color w:val="93C5FD"/>
                <w:sz w:val="20"/>
                <w:szCs w:val="20"/>
              </w:rPr>
              <w:t xml:space="preserve">March 2026  |  Version 1.0</w:t>
            </w:r>
          </w:p>
        </w:tc>
      </w:tr>
    </w:tbl>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2424" w:sz="4"/>
              <w:left w:val="single" w:color="E02424" w:sz="4"/>
              <w:bottom w:val="single" w:color="E02424" w:sz="4"/>
              <w:right w:val="single" w:color="E02424" w:sz="4"/>
            </w:tcBorders>
            <w:shd w:fill="FEF2F2" w:val="clear"/>
            <w:tcMar>
              <w:top w:type="dxa" w:w="120"/>
              <w:left w:type="dxa" w:w="80"/>
              <w:bottom w:type="dxa" w:w="120"/>
              <w:right w:type="dxa" w:w="80"/>
            </w:tcMar>
          </w:tcPr>
          <w:p>
            <w:pPr>
              <w:jc w:val="center"/>
            </w:pPr>
            <w:r>
              <w:rPr>
                <w:rFonts w:ascii="Arial" w:cs="Arial" w:eastAsia="Arial" w:hAnsi="Arial"/>
                <w:b/>
                <w:bCs/>
                <w:color w:val="E02424"/>
                <w:sz w:val="60"/>
                <w:szCs w:val="60"/>
              </w:rPr>
              <w:t xml:space="preserve">8</w:t>
            </w:r>
          </w:p>
          <w:p>
            <w:pPr>
              <w:jc w:val="center"/>
            </w:pPr>
            <w:r>
              <w:rPr>
                <w:rFonts w:ascii="Arial" w:cs="Arial" w:eastAsia="Arial" w:hAnsi="Arial"/>
                <w:color w:val="E02424"/>
                <w:sz w:val="18"/>
                <w:szCs w:val="18"/>
              </w:rPr>
              <w:t xml:space="preserve">Critical / High</w:t>
            </w:r>
          </w:p>
        </w:tc>
        <w:tc>
          <w:tcPr>
            <w:tcW w:type="dxa" w:w="2340"/>
            <w:tcBorders>
              <w:top w:val="single" w:color="D97706" w:sz="4"/>
              <w:left w:val="single" w:color="D97706" w:sz="4"/>
              <w:bottom w:val="single" w:color="D97706" w:sz="4"/>
              <w:right w:val="single" w:color="D97706" w:sz="4"/>
            </w:tcBorders>
            <w:shd w:fill="FFFBEB" w:val="clear"/>
            <w:tcMar>
              <w:top w:type="dxa" w:w="120"/>
              <w:left w:type="dxa" w:w="80"/>
              <w:bottom w:type="dxa" w:w="120"/>
              <w:right w:type="dxa" w:w="80"/>
            </w:tcMar>
          </w:tcPr>
          <w:p>
            <w:pPr>
              <w:jc w:val="center"/>
            </w:pPr>
            <w:r>
              <w:rPr>
                <w:rFonts w:ascii="Arial" w:cs="Arial" w:eastAsia="Arial" w:hAnsi="Arial"/>
                <w:b/>
                <w:bCs/>
                <w:color w:val="D97706"/>
                <w:sz w:val="60"/>
                <w:szCs w:val="60"/>
              </w:rPr>
              <w:t xml:space="preserve">9</w:t>
            </w:r>
          </w:p>
          <w:p>
            <w:pPr>
              <w:jc w:val="center"/>
            </w:pPr>
            <w:r>
              <w:rPr>
                <w:rFonts w:ascii="Arial" w:cs="Arial" w:eastAsia="Arial" w:hAnsi="Arial"/>
                <w:color w:val="D97706"/>
                <w:sz w:val="18"/>
                <w:szCs w:val="18"/>
              </w:rPr>
              <w:t xml:space="preserve">Medium Issues</w:t>
            </w:r>
          </w:p>
        </w:tc>
        <w:tc>
          <w:tcPr>
            <w:tcW w:type="dxa" w:w="2340"/>
            <w:tcBorders>
              <w:top w:val="single" w:color="1A56DB" w:sz="4"/>
              <w:left w:val="single" w:color="1A56DB" w:sz="4"/>
              <w:bottom w:val="single" w:color="1A56DB" w:sz="4"/>
              <w:right w:val="single" w:color="1A56DB" w:sz="4"/>
            </w:tcBorders>
            <w:shd w:fill="EFF6FF" w:val="clear"/>
            <w:tcMar>
              <w:top w:type="dxa" w:w="120"/>
              <w:left w:type="dxa" w:w="80"/>
              <w:bottom w:type="dxa" w:w="120"/>
              <w:right w:type="dxa" w:w="80"/>
            </w:tcMar>
          </w:tcPr>
          <w:p>
            <w:pPr>
              <w:jc w:val="center"/>
            </w:pPr>
            <w:r>
              <w:rPr>
                <w:rFonts w:ascii="Arial" w:cs="Arial" w:eastAsia="Arial" w:hAnsi="Arial"/>
                <w:b/>
                <w:bCs/>
                <w:color w:val="1A56DB"/>
                <w:sz w:val="60"/>
                <w:szCs w:val="60"/>
              </w:rPr>
              <w:t xml:space="preserve">7</w:t>
            </w:r>
          </w:p>
          <w:p>
            <w:pPr>
              <w:jc w:val="center"/>
            </w:pPr>
            <w:r>
              <w:rPr>
                <w:rFonts w:ascii="Arial" w:cs="Arial" w:eastAsia="Arial" w:hAnsi="Arial"/>
                <w:color w:val="1A56DB"/>
                <w:sz w:val="18"/>
                <w:szCs w:val="18"/>
              </w:rPr>
              <w:t xml:space="preserve">Low / UX Issues</w:t>
            </w:r>
          </w:p>
        </w:tc>
        <w:tc>
          <w:tcPr>
            <w:tcW w:type="dxa" w:w="2340"/>
            <w:tcBorders>
              <w:top w:val="single" w:color="057A55" w:sz="4"/>
              <w:left w:val="single" w:color="057A55" w:sz="4"/>
              <w:bottom w:val="single" w:color="057A55" w:sz="4"/>
              <w:right w:val="single" w:color="057A55" w:sz="4"/>
            </w:tcBorders>
            <w:shd w:fill="ECFDF5" w:val="clear"/>
            <w:tcMar>
              <w:top w:type="dxa" w:w="120"/>
              <w:left w:type="dxa" w:w="80"/>
              <w:bottom w:type="dxa" w:w="120"/>
              <w:right w:type="dxa" w:w="80"/>
            </w:tcMar>
          </w:tcPr>
          <w:p>
            <w:pPr>
              <w:jc w:val="center"/>
            </w:pPr>
            <w:r>
              <w:rPr>
                <w:rFonts w:ascii="Arial" w:cs="Arial" w:eastAsia="Arial" w:hAnsi="Arial"/>
                <w:b/>
                <w:bCs/>
                <w:color w:val="057A55"/>
                <w:sz w:val="60"/>
                <w:szCs w:val="60"/>
              </w:rPr>
              <w:t xml:space="preserve">3</w:t>
            </w:r>
          </w:p>
          <w:p>
            <w:pPr>
              <w:jc w:val="center"/>
            </w:pPr>
            <w:r>
              <w:rPr>
                <w:rFonts w:ascii="Arial" w:cs="Arial" w:eastAsia="Arial" w:hAnsi="Arial"/>
                <w:color w:val="057A55"/>
                <w:sz w:val="18"/>
                <w:szCs w:val="18"/>
              </w:rPr>
              <w:t xml:space="preserve">Already Fixed ✓</w:t>
            </w:r>
          </w:p>
        </w:tc>
      </w:tr>
    </w:tbl>
    <w:p>
      <w:pPr>
        <w:spacing w:after="0" w:before="360"/>
      </w:pPr>
      <w:r>
        <w:t xml:space="preserve"/>
      </w:r>
    </w:p>
    <w:p>
      <w:pPr>
        <w:spacing w:after="120"/>
      </w:pPr>
      <w:r>
        <w:rPr>
          <w:rFonts w:ascii="Arial" w:cs="Arial" w:eastAsia="Arial" w:hAnsi="Arial"/>
          <w:b w:val="false"/>
          <w:bCs w:val="false"/>
          <w:color w:val="6B7280"/>
          <w:sz w:val="21"/>
          <w:szCs w:val="21"/>
        </w:rPr>
        <w:t xml:space="preserve">This report is a comprehensive audit of the Tabibi healthcare AI application codebase. It covers the AI prompt engine, streaming architecture, security posture, database design, frontend UX, and Iraq-specific medical accuracy. Every finding includes a concrete fix recommendation.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A56DB" w:sz="4"/>
              <w:right w:val="none" w:color="FFFFFF" w:sz="0"/>
            </w:tcBorders>
            <w:shd w:fill="EFF6FF" w:val="clear"/>
            <w:tcMar>
              <w:top w:type="dxa" w:w="120"/>
              <w:left w:type="dxa" w:w="160"/>
              <w:bottom w:type="dxa" w:w="120"/>
              <w:right w:type="dxa" w:w="160"/>
            </w:tcMar>
          </w:tcPr>
          <w:p>
            <w:r>
              <w:rPr>
                <w:rFonts w:ascii="Arial" w:cs="Arial" w:eastAsia="Arial" w:hAnsi="Arial"/>
                <w:b/>
                <w:bCs/>
                <w:color w:val="1A56DB"/>
                <w:sz w:val="28"/>
                <w:szCs w:val="28"/>
              </w:rPr>
              <w:t xml:space="preserve">1. Executive Summary</w:t>
            </w:r>
          </w:p>
          <w:p>
            <w:r>
              <w:rPr>
                <w:rFonts w:ascii="Arial" w:cs="Arial" w:eastAsia="Arial" w:hAnsi="Arial"/>
                <w:color w:val="6B7280"/>
                <w:sz w:val="18"/>
                <w:szCs w:val="18"/>
              </w:rPr>
              <w:t xml:space="preserve">State of the codebase at a glance</w:t>
            </w:r>
          </w:p>
        </w:tc>
      </w:tr>
    </w:tbl>
    <w:p>
      <w:pPr>
        <w:spacing w:after="0" w:before="160"/>
      </w:pPr>
      <w:r>
        <w:t xml:space="preserve"/>
      </w:r>
    </w:p>
    <w:p>
      <w:pPr>
        <w:spacing w:after="120"/>
      </w:pPr>
      <w:r>
        <w:rPr>
          <w:rFonts w:ascii="Arial" w:cs="Arial" w:eastAsia="Arial" w:hAnsi="Arial"/>
          <w:b w:val="false"/>
          <w:bCs w:val="false"/>
          <w:color w:val="111827"/>
          <w:sz w:val="21"/>
          <w:szCs w:val="21"/>
        </w:rPr>
        <w:t xml:space="preserve">Tabibi is a well-structured, thoughtfully designed medical triage application with strong foundations: Firebase authentication, streaming AI with Gemini 2.5 Flash, AES-256-GCM order encryption, and a rich Iraq-specific medical knowledge base. The Phase 2 dynamic disease matching (diseaseMatch.ts) is already wired into the backend correctly.</w:t>
      </w:r>
    </w:p>
    <w:p>
      <w:pPr>
        <w:spacing w:after="0" w:before="80"/>
      </w:pPr>
      <w:r>
        <w:t xml:space="preserve"/>
      </w:r>
    </w:p>
    <w:p>
      <w:pPr>
        <w:spacing w:after="120"/>
      </w:pPr>
      <w:r>
        <w:rPr>
          <w:rFonts w:ascii="Arial" w:cs="Arial" w:eastAsia="Arial" w:hAnsi="Arial"/>
          <w:b/>
          <w:bCs/>
          <w:color w:val="111827"/>
          <w:sz w:val="22"/>
          <w:szCs w:val="22"/>
        </w:rPr>
        <w:t xml:space="preserve">However, several critical issues exist that need addressing before public launch:</w:t>
      </w:r>
    </w:p>
    <w:p>
      <w:pPr>
        <w:pStyle w:val="ListParagraph"/>
        <w:numPr>
          <w:ilvl w:val="0"/>
          <w:numId w:val="2"/>
        </w:numPr>
        <w:spacing w:after="80"/>
      </w:pPr>
      <w:r>
        <w:rPr>
          <w:rFonts w:ascii="Arial" w:cs="Arial" w:eastAsia="Arial" w:hAnsi="Arial"/>
          <w:b w:val="false"/>
          <w:bCs w:val="false"/>
          <w:color w:val="111827"/>
          <w:sz w:val="20"/>
          <w:szCs w:val="20"/>
        </w:rPr>
        <w:t xml:space="preserve">No API rate limiting — a single user can drain your Gemini API budget in minutes</w:t>
      </w:r>
    </w:p>
    <w:p>
      <w:pPr>
        <w:pStyle w:val="ListParagraph"/>
        <w:numPr>
          <w:ilvl w:val="0"/>
          <w:numId w:val="2"/>
        </w:numPr>
        <w:spacing w:after="80"/>
      </w:pPr>
      <w:r>
        <w:rPr>
          <w:rFonts w:ascii="Arial" w:cs="Arial" w:eastAsia="Arial" w:hAnsi="Arial"/>
          <w:b w:val="false"/>
          <w:bCs w:val="false"/>
          <w:color w:val="111827"/>
          <w:sz w:val="20"/>
          <w:szCs w:val="20"/>
        </w:rPr>
        <w:t xml:space="preserve">Health profile data (medical history, allergies, conditions) is stored unencrypted in the database</w:t>
      </w:r>
    </w:p>
    <w:p>
      <w:pPr>
        <w:pStyle w:val="ListParagraph"/>
        <w:numPr>
          <w:ilvl w:val="0"/>
          <w:numId w:val="2"/>
        </w:numPr>
        <w:spacing w:after="80"/>
      </w:pPr>
      <w:r>
        <w:rPr>
          <w:rFonts w:ascii="Arial" w:cs="Arial" w:eastAsia="Arial" w:hAnsi="Arial"/>
          <w:b w:val="false"/>
          <w:bCs w:val="false"/>
          <w:color w:val="111827"/>
          <w:sz w:val="20"/>
          <w:szCs w:val="20"/>
        </w:rPr>
        <w:t xml:space="preserve">The assessment route has no image data size validation, allowing arbitrarily large uploads</w:t>
      </w:r>
    </w:p>
    <w:p>
      <w:pPr>
        <w:pStyle w:val="ListParagraph"/>
        <w:numPr>
          <w:ilvl w:val="0"/>
          <w:numId w:val="2"/>
        </w:numPr>
        <w:spacing w:after="80"/>
      </w:pPr>
      <w:r>
        <w:rPr>
          <w:rFonts w:ascii="Arial" w:cs="Arial" w:eastAsia="Arial" w:hAnsi="Arial"/>
          <w:b w:val="false"/>
          <w:bCs w:val="false"/>
          <w:color w:val="111827"/>
          <w:sz w:val="20"/>
          <w:szCs w:val="20"/>
        </w:rPr>
        <w:t xml:space="preserve">RecommendationCard fails silently for simple/quick conclusions (B1 bug)</w:t>
      </w:r>
    </w:p>
    <w:p>
      <w:pPr>
        <w:pStyle w:val="ListParagraph"/>
        <w:numPr>
          <w:ilvl w:val="0"/>
          <w:numId w:val="2"/>
        </w:numPr>
        <w:spacing w:after="80"/>
      </w:pPr>
      <w:r>
        <w:rPr>
          <w:rFonts w:ascii="Arial" w:cs="Arial" w:eastAsia="Arial" w:hAnsi="Arial"/>
          <w:b w:val="false"/>
          <w:bCs w:val="false"/>
          <w:color w:val="111827"/>
          <w:sz w:val="20"/>
          <w:szCs w:val="20"/>
        </w:rPr>
        <w:t xml:space="preserve">The severity fallback defaults to 'moderate' — dangerous for emergency cases (B2 bug)</w:t>
      </w:r>
    </w:p>
    <w:p>
      <w:pPr>
        <w:pStyle w:val="ListParagraph"/>
        <w:numPr>
          <w:ilvl w:val="0"/>
          <w:numId w:val="2"/>
        </w:numPr>
        <w:spacing w:after="80"/>
      </w:pPr>
      <w:r>
        <w:rPr>
          <w:rFonts w:ascii="Arial" w:cs="Arial" w:eastAsia="Arial" w:hAnsi="Arial"/>
          <w:b w:val="false"/>
          <w:bCs w:val="false"/>
          <w:color w:val="111827"/>
          <w:sz w:val="20"/>
          <w:szCs w:val="20"/>
        </w:rPr>
        <w:t xml:space="preserve">Phone auth verification bypass left active in dev mode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600"/>
        <w:gridCol w:w="1960"/>
      </w:tblGrid>
      <w:tr>
        <w:tc>
          <w:tcPr>
            <w:tcW w:type="dxa" w:w="40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8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Critical/High</w:t>
            </w:r>
          </w:p>
        </w:tc>
        <w:tc>
          <w:tcPr>
            <w:tcW w:type="dxa" w:w="16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196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Low/Fixed</w:t>
            </w:r>
          </w:p>
        </w:tc>
      </w:tr>
      <w:tr>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11827"/>
                <w:sz w:val="20"/>
                <w:szCs w:val="20"/>
              </w:rPr>
              <w:t xml:space="preserve">API &amp; Server Security</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E02424"/>
                <w:sz w:val="20"/>
                <w:szCs w:val="20"/>
              </w:rPr>
              <w:t xml:space="preserve">3</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D97706"/>
                <w:sz w:val="20"/>
                <w:szCs w:val="20"/>
              </w:rPr>
              <w:t xml:space="preserve">2</w:t>
            </w:r>
          </w:p>
        </w:tc>
        <w:tc>
          <w:tcPr>
            <w:tcW w:type="dxa" w:w="1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0</w:t>
            </w:r>
          </w:p>
        </w:tc>
      </w:tr>
      <w:tr>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jc w:val="left"/>
            </w:pPr>
            <w:r>
              <w:rPr>
                <w:rFonts w:ascii="Arial" w:cs="Arial" w:eastAsia="Arial" w:hAnsi="Arial"/>
                <w:b/>
                <w:bCs/>
                <w:color w:val="111827"/>
                <w:sz w:val="20"/>
                <w:szCs w:val="20"/>
              </w:rPr>
              <w:t xml:space="preserve">AI Prompt &amp; Medical Quality</w:t>
            </w:r>
          </w:p>
        </w:tc>
        <w:tc>
          <w:tcPr>
            <w:tcW w:type="dxa" w:w="18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jc w:val="center"/>
            </w:pPr>
            <w:r>
              <w:rPr>
                <w:rFonts w:ascii="Arial" w:cs="Arial" w:eastAsia="Arial" w:hAnsi="Arial"/>
                <w:b w:val="false"/>
                <w:bCs w:val="false"/>
                <w:color w:val="E02424"/>
                <w:sz w:val="20"/>
                <w:szCs w:val="20"/>
              </w:rPr>
              <w:t xml:space="preserve">1</w:t>
            </w:r>
          </w:p>
        </w:tc>
        <w:tc>
          <w:tcPr>
            <w:tcW w:type="dxa" w:w="16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jc w:val="center"/>
            </w:pPr>
            <w:r>
              <w:rPr>
                <w:rFonts w:ascii="Arial" w:cs="Arial" w:eastAsia="Arial" w:hAnsi="Arial"/>
                <w:b w:val="false"/>
                <w:bCs w:val="false"/>
                <w:color w:val="D97706"/>
                <w:sz w:val="20"/>
                <w:szCs w:val="20"/>
              </w:rPr>
              <w:t xml:space="preserve">3</w:t>
            </w:r>
          </w:p>
        </w:tc>
        <w:tc>
          <w:tcPr>
            <w:tcW w:type="dxa" w:w="19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1</w:t>
            </w:r>
          </w:p>
        </w:tc>
      </w:tr>
      <w:tr>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11827"/>
                <w:sz w:val="20"/>
                <w:szCs w:val="20"/>
              </w:rPr>
              <w:t xml:space="preserve">Frontend Bugs (B-series)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E02424"/>
                <w:sz w:val="20"/>
                <w:szCs w:val="20"/>
              </w:rPr>
              <w:t xml:space="preserve">2</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D97706"/>
                <w:sz w:val="20"/>
                <w:szCs w:val="20"/>
              </w:rPr>
              <w:t xml:space="preserve">3</w:t>
            </w:r>
          </w:p>
        </w:tc>
        <w:tc>
          <w:tcPr>
            <w:tcW w:type="dxa" w:w="1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2</w:t>
            </w:r>
          </w:p>
        </w:tc>
      </w:tr>
      <w:tr>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jc w:val="left"/>
            </w:pPr>
            <w:r>
              <w:rPr>
                <w:rFonts w:ascii="Arial" w:cs="Arial" w:eastAsia="Arial" w:hAnsi="Arial"/>
                <w:b/>
                <w:bCs/>
                <w:color w:val="111827"/>
                <w:sz w:val="20"/>
                <w:szCs w:val="20"/>
              </w:rPr>
              <w:t xml:space="preserve">Database &amp; Encryption</w:t>
            </w:r>
          </w:p>
        </w:tc>
        <w:tc>
          <w:tcPr>
            <w:tcW w:type="dxa" w:w="18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jc w:val="center"/>
            </w:pPr>
            <w:r>
              <w:rPr>
                <w:rFonts w:ascii="Arial" w:cs="Arial" w:eastAsia="Arial" w:hAnsi="Arial"/>
                <w:b w:val="false"/>
                <w:bCs w:val="false"/>
                <w:color w:val="E02424"/>
                <w:sz w:val="20"/>
                <w:szCs w:val="20"/>
              </w:rPr>
              <w:t xml:space="preserve">2</w:t>
            </w:r>
          </w:p>
        </w:tc>
        <w:tc>
          <w:tcPr>
            <w:tcW w:type="dxa" w:w="16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jc w:val="center"/>
            </w:pPr>
            <w:r>
              <w:rPr>
                <w:rFonts w:ascii="Arial" w:cs="Arial" w:eastAsia="Arial" w:hAnsi="Arial"/>
                <w:b w:val="false"/>
                <w:bCs w:val="false"/>
                <w:color w:val="D97706"/>
                <w:sz w:val="20"/>
                <w:szCs w:val="20"/>
              </w:rPr>
              <w:t xml:space="preserve">1</w:t>
            </w:r>
          </w:p>
        </w:tc>
        <w:tc>
          <w:tcPr>
            <w:tcW w:type="dxa" w:w="19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0</w:t>
            </w:r>
          </w:p>
        </w:tc>
      </w:tr>
      <w:tr>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11827"/>
                <w:sz w:val="20"/>
                <w:szCs w:val="20"/>
              </w:rPr>
              <w:t xml:space="preserve">Auth &amp; Session</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D97706"/>
                <w:sz w:val="20"/>
                <w:szCs w:val="20"/>
              </w:rPr>
              <w:t xml:space="preserve">2</w:t>
            </w:r>
          </w:p>
        </w:tc>
        <w:tc>
          <w:tcPr>
            <w:tcW w:type="dxa" w:w="1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0</w:t>
            </w:r>
          </w:p>
        </w:tc>
      </w:tr>
      <w:tr>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jc w:val="left"/>
            </w:pPr>
            <w:r>
              <w:rPr>
                <w:rFonts w:ascii="Arial" w:cs="Arial" w:eastAsia="Arial" w:hAnsi="Arial"/>
                <w:b/>
                <w:bCs/>
                <w:color w:val="111827"/>
                <w:sz w:val="20"/>
                <w:szCs w:val="20"/>
              </w:rPr>
              <w:t xml:space="preserve">Performance &amp; Architecture</w:t>
            </w:r>
          </w:p>
        </w:tc>
        <w:tc>
          <w:tcPr>
            <w:tcW w:type="dxa" w:w="18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0</w:t>
            </w:r>
          </w:p>
        </w:tc>
        <w:tc>
          <w:tcPr>
            <w:tcW w:type="dxa" w:w="16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jc w:val="center"/>
            </w:pPr>
            <w:r>
              <w:rPr>
                <w:rFonts w:ascii="Arial" w:cs="Arial" w:eastAsia="Arial" w:hAnsi="Arial"/>
                <w:b w:val="false"/>
                <w:bCs w:val="false"/>
                <w:color w:val="D97706"/>
                <w:sz w:val="20"/>
                <w:szCs w:val="20"/>
              </w:rPr>
              <w:t xml:space="preserve">2</w:t>
            </w:r>
          </w:p>
        </w:tc>
        <w:tc>
          <w:tcPr>
            <w:tcW w:type="dxa" w:w="19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0</w:t>
            </w:r>
          </w:p>
        </w:tc>
      </w:tr>
      <w:tr>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11827"/>
                <w:sz w:val="20"/>
                <w:szCs w:val="20"/>
              </w:rPr>
              <w:t xml:space="preserve">UX &amp; Localization</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D97706"/>
                <w:sz w:val="20"/>
                <w:szCs w:val="20"/>
              </w:rPr>
              <w:t xml:space="preserve">3</w:t>
            </w:r>
          </w:p>
        </w:tc>
        <w:tc>
          <w:tcPr>
            <w:tcW w:type="dxa" w:w="1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0</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A56DB" w:sz="4"/>
              <w:right w:val="none" w:color="FFFFFF" w:sz="0"/>
            </w:tcBorders>
            <w:shd w:fill="EFF6FF" w:val="clear"/>
            <w:tcMar>
              <w:top w:type="dxa" w:w="120"/>
              <w:left w:type="dxa" w:w="160"/>
              <w:bottom w:type="dxa" w:w="120"/>
              <w:right w:type="dxa" w:w="160"/>
            </w:tcMar>
          </w:tcPr>
          <w:p>
            <w:r>
              <w:rPr>
                <w:rFonts w:ascii="Arial" w:cs="Arial" w:eastAsia="Arial" w:hAnsi="Arial"/>
                <w:b/>
                <w:bCs/>
                <w:color w:val="1A56DB"/>
                <w:sz w:val="28"/>
                <w:szCs w:val="28"/>
              </w:rPr>
              <w:t xml:space="preserve">2. What's Already Fixed ✓</w:t>
            </w:r>
          </w:p>
          <w:p>
            <w:r>
              <w:rPr>
                <w:rFonts w:ascii="Arial" w:cs="Arial" w:eastAsia="Arial" w:hAnsi="Arial"/>
                <w:color w:val="6B7280"/>
                <w:sz w:val="18"/>
                <w:szCs w:val="18"/>
              </w:rPr>
              <w:t xml:space="preserve">These bugs from previous sessions are confirmed resolved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57A55" w:sz="4"/>
              <w:left w:val="single" w:color="057A55" w:sz="4"/>
              <w:bottom w:val="single" w:color="057A55" w:sz="4"/>
              <w:right w:val="single" w:color="057A55" w:sz="4"/>
            </w:tcBorders>
            <w:shd w:fill="ECFDF5" w:val="clear"/>
            <w:tcMar>
              <w:top w:type="dxa" w:w="80"/>
              <w:left w:type="dxa" w:w="120"/>
              <w:bottom w:type="dxa" w:w="80"/>
              <w:right w:type="dxa" w:w="120"/>
            </w:tcMar>
          </w:tcPr>
          <w:p>
            <w:pPr>
              <w:jc w:val="center"/>
            </w:pPr>
            <w:r>
              <w:rPr>
                <w:rFonts w:ascii="Arial" w:cs="Arial" w:eastAsia="Arial" w:hAnsi="Arial"/>
                <w:b/>
                <w:bCs/>
                <w:color w:val="057A55"/>
                <w:sz w:val="18"/>
                <w:szCs w:val="18"/>
              </w:rPr>
              <w:t xml:space="preserve">FIXED</w:t>
            </w:r>
          </w:p>
        </w:tc>
        <w:tc>
          <w:tcPr>
            <w:tcW w:type="dxa" w:w="7760"/>
            <w:tcBorders>
              <w:top w:val="single" w:color="057A55" w:sz="4"/>
              <w:left w:val="single" w:color="057A55" w:sz="4"/>
              <w:bottom w:val="single" w:color="057A55" w:sz="4"/>
              <w:right w:val="single" w:color="057A55" w:sz="4"/>
            </w:tcBorders>
            <w:shd w:fill="FFFFFF" w:val="clear"/>
            <w:tcMar>
              <w:top w:type="dxa" w:w="80"/>
              <w:left w:type="dxa" w:w="160"/>
              <w:bottom w:type="dxa" w:w="80"/>
              <w:right w:type="dxa" w:w="120"/>
            </w:tcMar>
          </w:tcPr>
          <w:p>
            <w:r>
              <w:rPr>
                <w:rFonts w:ascii="Arial" w:cs="Arial" w:eastAsia="Arial" w:hAnsi="Arial"/>
                <w:color w:val="111827"/>
                <w:sz w:val="20"/>
                <w:szCs w:val="20"/>
              </w:rPr>
              <w:t xml:space="preserve">B8 — Emergency number: EmergencyOverlay.tsx now correctly uses tel:115 (Iraq ambulance). The button text says 'Call 115 - Emergency / اتصل 115 - الطوارئ'.</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57A55" w:sz="4"/>
              <w:left w:val="single" w:color="057A55" w:sz="4"/>
              <w:bottom w:val="single" w:color="057A55" w:sz="4"/>
              <w:right w:val="single" w:color="057A55" w:sz="4"/>
            </w:tcBorders>
            <w:shd w:fill="ECFDF5" w:val="clear"/>
            <w:tcMar>
              <w:top w:type="dxa" w:w="80"/>
              <w:left w:type="dxa" w:w="120"/>
              <w:bottom w:type="dxa" w:w="80"/>
              <w:right w:type="dxa" w:w="120"/>
            </w:tcMar>
          </w:tcPr>
          <w:p>
            <w:pPr>
              <w:jc w:val="center"/>
            </w:pPr>
            <w:r>
              <w:rPr>
                <w:rFonts w:ascii="Arial" w:cs="Arial" w:eastAsia="Arial" w:hAnsi="Arial"/>
                <w:b/>
                <w:bCs/>
                <w:color w:val="057A55"/>
                <w:sz w:val="18"/>
                <w:szCs w:val="18"/>
              </w:rPr>
              <w:t xml:space="preserve">FIXED</w:t>
            </w:r>
          </w:p>
        </w:tc>
        <w:tc>
          <w:tcPr>
            <w:tcW w:type="dxa" w:w="7760"/>
            <w:tcBorders>
              <w:top w:val="single" w:color="057A55" w:sz="4"/>
              <w:left w:val="single" w:color="057A55" w:sz="4"/>
              <w:bottom w:val="single" w:color="057A55" w:sz="4"/>
              <w:right w:val="single" w:color="057A55" w:sz="4"/>
            </w:tcBorders>
            <w:shd w:fill="FFFFFF" w:val="clear"/>
            <w:tcMar>
              <w:top w:type="dxa" w:w="80"/>
              <w:left w:type="dxa" w:w="160"/>
              <w:bottom w:type="dxa" w:w="80"/>
              <w:right w:type="dxa" w:w="120"/>
            </w:tcMar>
          </w:tcPr>
          <w:p>
            <w:r>
              <w:rPr>
                <w:rFonts w:ascii="Arial" w:cs="Arial" w:eastAsia="Arial" w:hAnsi="Arial"/>
                <w:color w:val="111827"/>
                <w:sz w:val="20"/>
                <w:szCs w:val="20"/>
              </w:rPr>
              <w:t xml:space="preserve">Phase 2 — Dynamic disease matching is wired into ai.ts (lines 530-544). matchDiseases() runs on user messages and injects top 3 matched diseases with screening questions into the system prompt.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57A55" w:sz="4"/>
              <w:left w:val="single" w:color="057A55" w:sz="4"/>
              <w:bottom w:val="single" w:color="057A55" w:sz="4"/>
              <w:right w:val="single" w:color="057A55" w:sz="4"/>
            </w:tcBorders>
            <w:shd w:fill="ECFDF5" w:val="clear"/>
            <w:tcMar>
              <w:top w:type="dxa" w:w="80"/>
              <w:left w:type="dxa" w:w="120"/>
              <w:bottom w:type="dxa" w:w="80"/>
              <w:right w:type="dxa" w:w="120"/>
            </w:tcMar>
          </w:tcPr>
          <w:p>
            <w:pPr>
              <w:jc w:val="center"/>
            </w:pPr>
            <w:r>
              <w:rPr>
                <w:rFonts w:ascii="Arial" w:cs="Arial" w:eastAsia="Arial" w:hAnsi="Arial"/>
                <w:b/>
                <w:bCs/>
                <w:color w:val="057A55"/>
                <w:sz w:val="18"/>
                <w:szCs w:val="18"/>
              </w:rPr>
              <w:t xml:space="preserve">FIXED</w:t>
            </w:r>
          </w:p>
        </w:tc>
        <w:tc>
          <w:tcPr>
            <w:tcW w:type="dxa" w:w="7760"/>
            <w:tcBorders>
              <w:top w:val="single" w:color="057A55" w:sz="4"/>
              <w:left w:val="single" w:color="057A55" w:sz="4"/>
              <w:bottom w:val="single" w:color="057A55" w:sz="4"/>
              <w:right w:val="single" w:color="057A55" w:sz="4"/>
            </w:tcBorders>
            <w:shd w:fill="FFFFFF" w:val="clear"/>
            <w:tcMar>
              <w:top w:type="dxa" w:w="80"/>
              <w:left w:type="dxa" w:w="160"/>
              <w:bottom w:type="dxa" w:w="80"/>
              <w:right w:type="dxa" w:w="120"/>
            </w:tcMar>
          </w:tcPr>
          <w:p>
            <w:r>
              <w:rPr>
                <w:rFonts w:ascii="Arial" w:cs="Arial" w:eastAsia="Arial" w:hAnsi="Arial"/>
                <w:color w:val="111827"/>
                <w:sz w:val="20"/>
                <w:szCs w:val="20"/>
              </w:rPr>
              <w:t xml:space="preserve">diseaseMatch.ts import — The module is correctly imported at line 6 of ai.ts and the server/utils/diseaseMatch.ts file exists in the codebase.</w:t>
            </w:r>
          </w:p>
        </w:tc>
      </w:tr>
    </w:tbl>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A56DB" w:sz="4"/>
              <w:right w:val="none" w:color="FFFFFF" w:sz="0"/>
            </w:tcBorders>
            <w:shd w:fill="EFF6FF" w:val="clear"/>
            <w:tcMar>
              <w:top w:type="dxa" w:w="120"/>
              <w:left w:type="dxa" w:w="160"/>
              <w:bottom w:type="dxa" w:w="120"/>
              <w:right w:type="dxa" w:w="160"/>
            </w:tcMar>
          </w:tcPr>
          <w:p>
            <w:r>
              <w:rPr>
                <w:rFonts w:ascii="Arial" w:cs="Arial" w:eastAsia="Arial" w:hAnsi="Arial"/>
                <w:b/>
                <w:bCs/>
                <w:color w:val="1A56DB"/>
                <w:sz w:val="28"/>
                <w:szCs w:val="28"/>
              </w:rPr>
              <w:t xml:space="preserve">3. Critical &amp; High Priority Issues</w:t>
            </w:r>
          </w:p>
          <w:p>
            <w:r>
              <w:rPr>
                <w:rFonts w:ascii="Arial" w:cs="Arial" w:eastAsia="Arial" w:hAnsi="Arial"/>
                <w:color w:val="6B7280"/>
                <w:sz w:val="18"/>
                <w:szCs w:val="18"/>
              </w:rPr>
              <w:t xml:space="preserve">These must be fixed before public launch</w:t>
            </w:r>
          </w:p>
        </w:tc>
      </w:tr>
    </w:tbl>
    <w:p>
      <w:pPr>
        <w:spacing w:after="0" w:before="160"/>
      </w:pPr>
      <w:r>
        <w:t xml:space="preserve"/>
      </w:r>
    </w:p>
    <w:p>
      <w:pPr>
        <w:pStyle w:val="Heading3"/>
        <w:spacing w:after="80" w:before="200"/>
      </w:pPr>
      <w:r>
        <w:rPr>
          <w:rFonts w:ascii="Arial" w:cs="Arial" w:eastAsia="Arial" w:hAnsi="Arial"/>
          <w:b/>
          <w:bCs/>
          <w:color w:val="E02424"/>
          <w:sz w:val="22"/>
          <w:szCs w:val="22"/>
        </w:rPr>
        <w:t xml:space="preserve">3.1 API Security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FEF2F2" w:val="clear"/>
            <w:tcMar>
              <w:top w:type="dxa" w:w="80"/>
              <w:left w:type="dxa" w:w="60"/>
              <w:bottom w:type="dxa" w:w="80"/>
              <w:right w:type="dxa" w:w="60"/>
            </w:tcMar>
            <w:vAlign w:val="center"/>
          </w:tcPr>
          <w:p>
            <w:pPr>
              <w:jc w:val="center"/>
            </w:pPr>
            <w:r>
              <w:rPr>
                <w:rFonts w:ascii="Arial" w:cs="Arial" w:eastAsia="Arial" w:hAnsi="Arial"/>
                <w:b/>
                <w:bCs/>
                <w:color w:val="E02424"/>
                <w:sz w:val="18"/>
                <w:szCs w:val="18"/>
              </w:rPr>
              <w:t xml:space="preserve">S-01</w:t>
            </w:r>
          </w:p>
        </w:tc>
        <w:tc>
          <w:tcPr>
            <w:tcW w:type="dxa" w:w="1100"/>
            <w:tcBorders>
              <w:top w:val="single" w:color="DDDDDD" w:sz="4"/>
              <w:left w:val="single" w:color="DDDDDD" w:sz="4"/>
              <w:bottom w:val="single" w:color="DDDDDD" w:sz="4"/>
              <w:right w:val="single" w:color="DDDDDD" w:sz="4"/>
            </w:tcBorders>
            <w:shd w:fill="FEF2F2" w:val="clear"/>
            <w:tcMar>
              <w:top w:type="dxa" w:w="80"/>
              <w:left w:type="dxa" w:w="100"/>
              <w:bottom w:type="dxa" w:w="80"/>
              <w:right w:type="dxa" w:w="60"/>
            </w:tcMar>
          </w:tcPr>
          <w:p>
            <w:pPr>
              <w:jc w:val="center"/>
            </w:pPr>
            <w:r>
              <w:rPr>
                <w:rFonts w:ascii="Arial" w:cs="Arial" w:eastAsia="Arial" w:hAnsi="Arial"/>
                <w:b/>
                <w:bCs/>
                <w:color w:val="E02424"/>
                <w:sz w:val="16"/>
                <w:szCs w:val="16"/>
              </w:rPr>
              <w:t xml:space="preserve">CRITICAL</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No API Rate Limiting</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There is no express-rate-limit or any other rate limiting middleware on any endpoint. A single authenticated user can call /api/assess thousands of times per hour, exhausting your Gemini API quota and generating massive costs. A malicious actor could also use it to stress-test the system.</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Install express-rate-limit. Apply a limiter to all /api/* routes: 20 requests per minute per user for /api/assess, 50 per minute for other routes. Store rate limit state in Redis or in-memory for single-instance deployment.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FEF2F2" w:val="clear"/>
            <w:tcMar>
              <w:top w:type="dxa" w:w="80"/>
              <w:left w:type="dxa" w:w="60"/>
              <w:bottom w:type="dxa" w:w="80"/>
              <w:right w:type="dxa" w:w="60"/>
            </w:tcMar>
            <w:vAlign w:val="center"/>
          </w:tcPr>
          <w:p>
            <w:pPr>
              <w:jc w:val="center"/>
            </w:pPr>
            <w:r>
              <w:rPr>
                <w:rFonts w:ascii="Arial" w:cs="Arial" w:eastAsia="Arial" w:hAnsi="Arial"/>
                <w:b/>
                <w:bCs/>
                <w:color w:val="E02424"/>
                <w:sz w:val="18"/>
                <w:szCs w:val="18"/>
              </w:rPr>
              <w:t xml:space="preserve">S-02</w:t>
            </w:r>
          </w:p>
        </w:tc>
        <w:tc>
          <w:tcPr>
            <w:tcW w:type="dxa" w:w="1100"/>
            <w:tcBorders>
              <w:top w:val="single" w:color="DDDDDD" w:sz="4"/>
              <w:left w:val="single" w:color="DDDDDD" w:sz="4"/>
              <w:bottom w:val="single" w:color="DDDDDD" w:sz="4"/>
              <w:right w:val="single" w:color="DDDDDD" w:sz="4"/>
            </w:tcBorders>
            <w:shd w:fill="FEF2F2" w:val="clear"/>
            <w:tcMar>
              <w:top w:type="dxa" w:w="80"/>
              <w:left w:type="dxa" w:w="100"/>
              <w:bottom w:type="dxa" w:w="80"/>
              <w:right w:type="dxa" w:w="60"/>
            </w:tcMar>
          </w:tcPr>
          <w:p>
            <w:pPr>
              <w:jc w:val="center"/>
            </w:pPr>
            <w:r>
              <w:rPr>
                <w:rFonts w:ascii="Arial" w:cs="Arial" w:eastAsia="Arial" w:hAnsi="Arial"/>
                <w:b/>
                <w:bCs/>
                <w:color w:val="E02424"/>
                <w:sz w:val="16"/>
                <w:szCs w:val="16"/>
              </w:rPr>
              <w:t xml:space="preserve">CRITICAL</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Image Data Size Not Validated in Assessment Route</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The messageSchema in ai.ts defines imageData as z.string().optional() with no size limit. The medicationAnalysisSchema correctly limits to 10MB, but the main /api/assess route allows unlimited base64 image data per message, with up to 50 messages in a single request. A user could send hundreds of MB of data in one request.</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Add z.string().max(10_000_000).optional() to imageData in messageSchema. Also add a total request body size limit using express's body-parser: app.use(express.json({ limit: '15mb'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FFFBEB" w:val="clear"/>
            <w:tcMar>
              <w:top w:type="dxa" w:w="80"/>
              <w:left w:type="dxa" w:w="60"/>
              <w:bottom w:type="dxa" w:w="80"/>
              <w:right w:type="dxa" w:w="60"/>
            </w:tcMar>
            <w:vAlign w:val="center"/>
          </w:tcPr>
          <w:p>
            <w:pPr>
              <w:jc w:val="center"/>
            </w:pPr>
            <w:r>
              <w:rPr>
                <w:rFonts w:ascii="Arial" w:cs="Arial" w:eastAsia="Arial" w:hAnsi="Arial"/>
                <w:b/>
                <w:bCs/>
                <w:color w:val="D97706"/>
                <w:sz w:val="18"/>
                <w:szCs w:val="18"/>
              </w:rPr>
              <w:t xml:space="preserve">S-03</w:t>
            </w:r>
          </w:p>
        </w:tc>
        <w:tc>
          <w:tcPr>
            <w:tcW w:type="dxa" w:w="1100"/>
            <w:tcBorders>
              <w:top w:val="single" w:color="DDDDDD" w:sz="4"/>
              <w:left w:val="single" w:color="DDDDDD" w:sz="4"/>
              <w:bottom w:val="single" w:color="DDDDDD" w:sz="4"/>
              <w:right w:val="single" w:color="DDDDDD" w:sz="4"/>
            </w:tcBorders>
            <w:shd w:fill="FFFBEB" w:val="clear"/>
            <w:tcMar>
              <w:top w:type="dxa" w:w="80"/>
              <w:left w:type="dxa" w:w="100"/>
              <w:bottom w:type="dxa" w:w="80"/>
              <w:right w:type="dxa" w:w="60"/>
            </w:tcMar>
          </w:tcPr>
          <w:p>
            <w:pPr>
              <w:jc w:val="center"/>
            </w:pPr>
            <w:r>
              <w:rPr>
                <w:rFonts w:ascii="Arial" w:cs="Arial" w:eastAsia="Arial" w:hAnsi="Arial"/>
                <w:b/>
                <w:bCs/>
                <w:color w:val="D97706"/>
                <w:sz w:val="16"/>
                <w:szCs w:val="16"/>
              </w:rPr>
              <w:t xml:space="preserve">HIGH</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Health Profile PII Stored Unencrypted</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The orders table encrypts sensitive fields (medicine name, patient name, delivery address, phone) correctly with AES-256-GCM. However, the healthProfiles table stores chronicConditions, medicationHistory, allergyDetails, familyHistory, vitalTrends, and riskFactors as plain text. This is significantly more sensitive data than order information.</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Apply the same encrypt()/decrypt() pattern used in storage.ts to healthProfiles fields. Create encryptHealthProfile() and decryptHealthProfile() functions mirroring the order encryption. This requires a database migration to re-encrypt existing data.</w:t>
            </w:r>
          </w:p>
        </w:tc>
      </w:tr>
    </w:tbl>
    <w:p>
      <w:pPr>
        <w:spacing w:after="0" w:before="300"/>
      </w:pPr>
      <w:r>
        <w:t xml:space="preserve"/>
      </w:r>
    </w:p>
    <w:p>
      <w:pPr>
        <w:pStyle w:val="Heading3"/>
        <w:spacing w:after="80" w:before="200"/>
      </w:pPr>
      <w:r>
        <w:rPr>
          <w:rFonts w:ascii="Arial" w:cs="Arial" w:eastAsia="Arial" w:hAnsi="Arial"/>
          <w:b/>
          <w:bCs/>
          <w:color w:val="E02424"/>
          <w:sz w:val="22"/>
          <w:szCs w:val="22"/>
        </w:rPr>
        <w:t xml:space="preserve">3.2 Frontend Bugs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FFFBEB" w:val="clear"/>
            <w:tcMar>
              <w:top w:type="dxa" w:w="80"/>
              <w:left w:type="dxa" w:w="60"/>
              <w:bottom w:type="dxa" w:w="80"/>
              <w:right w:type="dxa" w:w="60"/>
            </w:tcMar>
            <w:vAlign w:val="center"/>
          </w:tcPr>
          <w:p>
            <w:pPr>
              <w:jc w:val="center"/>
            </w:pPr>
            <w:r>
              <w:rPr>
                <w:rFonts w:ascii="Arial" w:cs="Arial" w:eastAsia="Arial" w:hAnsi="Arial"/>
                <w:b/>
                <w:bCs/>
                <w:color w:val="D97706"/>
                <w:sz w:val="18"/>
                <w:szCs w:val="18"/>
              </w:rPr>
              <w:t xml:space="preserve">B-01</w:t>
            </w:r>
          </w:p>
        </w:tc>
        <w:tc>
          <w:tcPr>
            <w:tcW w:type="dxa" w:w="1100"/>
            <w:tcBorders>
              <w:top w:val="single" w:color="DDDDDD" w:sz="4"/>
              <w:left w:val="single" w:color="DDDDDD" w:sz="4"/>
              <w:bottom w:val="single" w:color="DDDDDD" w:sz="4"/>
              <w:right w:val="single" w:color="DDDDDD" w:sz="4"/>
            </w:tcBorders>
            <w:shd w:fill="FFFBEB" w:val="clear"/>
            <w:tcMar>
              <w:top w:type="dxa" w:w="80"/>
              <w:left w:type="dxa" w:w="100"/>
              <w:bottom w:type="dxa" w:w="80"/>
              <w:right w:type="dxa" w:w="60"/>
            </w:tcMar>
          </w:tcPr>
          <w:p>
            <w:pPr>
              <w:jc w:val="center"/>
            </w:pPr>
            <w:r>
              <w:rPr>
                <w:rFonts w:ascii="Arial" w:cs="Arial" w:eastAsia="Arial" w:hAnsi="Arial"/>
                <w:b/>
                <w:bCs/>
                <w:color w:val="D97706"/>
                <w:sz w:val="16"/>
                <w:szCs w:val="16"/>
              </w:rPr>
              <w:t xml:space="preserve">HIGH</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RecommendationCard: B1 — Card Fails for Simple Q1 Conclusions</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When the AI gives a simple conclusion after 1-2 questions (e.g., 'You have a common cold, rest and drink fluids'), the JSON typically has pathwayA.active=false with empty medicines[] AND pathwayB.active=false with empty tests[]. The RecommendationCard renders just the header + follow-up section with no actionable content — a blank-looking card with only the condition name and a follow-up string. Users are confused by the empty card.</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Add a fallback rendering section in RecommendationCard for when both pathways are inactive: show a 'Self-care recommended' section with a green banner and the assessment description as the primary guidance. The component should ALWAYS display something meaningful.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FFFBEB" w:val="clear"/>
            <w:tcMar>
              <w:top w:type="dxa" w:w="80"/>
              <w:left w:type="dxa" w:w="60"/>
              <w:bottom w:type="dxa" w:w="80"/>
              <w:right w:type="dxa" w:w="60"/>
            </w:tcMar>
            <w:vAlign w:val="center"/>
          </w:tcPr>
          <w:p>
            <w:pPr>
              <w:jc w:val="center"/>
            </w:pPr>
            <w:r>
              <w:rPr>
                <w:rFonts w:ascii="Arial" w:cs="Arial" w:eastAsia="Arial" w:hAnsi="Arial"/>
                <w:b/>
                <w:bCs/>
                <w:color w:val="D97706"/>
                <w:sz w:val="18"/>
                <w:szCs w:val="18"/>
              </w:rPr>
              <w:t xml:space="preserve">B-02</w:t>
            </w:r>
          </w:p>
        </w:tc>
        <w:tc>
          <w:tcPr>
            <w:tcW w:type="dxa" w:w="1100"/>
            <w:tcBorders>
              <w:top w:val="single" w:color="DDDDDD" w:sz="4"/>
              <w:left w:val="single" w:color="DDDDDD" w:sz="4"/>
              <w:bottom w:val="single" w:color="DDDDDD" w:sz="4"/>
              <w:right w:val="single" w:color="DDDDDD" w:sz="4"/>
            </w:tcBorders>
            <w:shd w:fill="FFFBEB" w:val="clear"/>
            <w:tcMar>
              <w:top w:type="dxa" w:w="80"/>
              <w:left w:type="dxa" w:w="100"/>
              <w:bottom w:type="dxa" w:w="80"/>
              <w:right w:type="dxa" w:w="60"/>
            </w:tcMar>
          </w:tcPr>
          <w:p>
            <w:pPr>
              <w:jc w:val="center"/>
            </w:pPr>
            <w:r>
              <w:rPr>
                <w:rFonts w:ascii="Arial" w:cs="Arial" w:eastAsia="Arial" w:hAnsi="Arial"/>
                <w:b/>
                <w:bCs/>
                <w:color w:val="D97706"/>
                <w:sz w:val="16"/>
                <w:szCs w:val="16"/>
              </w:rPr>
              <w:t xml:space="preserve">HIGH</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RecommendationCard: B2 — Severity Defaults to 'moderate' for Missing Field</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Line 64 in RecommendationCard.tsx: const severity = result?.assessment?.severity || 'moderate'. If the severity field is an empty string, undefined, or the JSON failed to parse correctly, it silently defaults to 'moderate' and shows a yellow badge. For emergency cases (STEMI, stroke) where the JSON partially failed, this means the user sees 'MODERATE' severity in yellow instead of 'SEVERE' in red — potentially fatal UX.</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Change the fallback logic to: if result.triageLevel === 'immediate', force severity to 'severe' regardless of the assessment.severity field. Additionally, validate severity as one of ['mild','moderate','severe'] and fall back to the triageLevel-derived value if invalid.</w:t>
            </w:r>
          </w:p>
        </w:tc>
      </w:tr>
    </w:tbl>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A56DB" w:sz="4"/>
              <w:right w:val="none" w:color="FFFFFF" w:sz="0"/>
            </w:tcBorders>
            <w:shd w:fill="EFF6FF" w:val="clear"/>
            <w:tcMar>
              <w:top w:type="dxa" w:w="120"/>
              <w:left w:type="dxa" w:w="160"/>
              <w:bottom w:type="dxa" w:w="120"/>
              <w:right w:type="dxa" w:w="160"/>
            </w:tcMar>
          </w:tcPr>
          <w:p>
            <w:r>
              <w:rPr>
                <w:rFonts w:ascii="Arial" w:cs="Arial" w:eastAsia="Arial" w:hAnsi="Arial"/>
                <w:b/>
                <w:bCs/>
                <w:color w:val="1A56DB"/>
                <w:sz w:val="28"/>
                <w:szCs w:val="28"/>
              </w:rPr>
              <w:t xml:space="preserve">4. Medium Priority Issues</w:t>
            </w:r>
          </w:p>
          <w:p>
            <w:r>
              <w:rPr>
                <w:rFonts w:ascii="Arial" w:cs="Arial" w:eastAsia="Arial" w:hAnsi="Arial"/>
                <w:color w:val="6B7280"/>
                <w:sz w:val="18"/>
                <w:szCs w:val="18"/>
              </w:rPr>
              <w:t xml:space="preserve">Important improvements for reliability and correctness</w:t>
            </w:r>
          </w:p>
        </w:tc>
      </w:tr>
    </w:tbl>
    <w:p>
      <w:pPr>
        <w:spacing w:after="0" w:before="160"/>
      </w:pPr>
      <w:r>
        <w:t xml:space="preserve"/>
      </w:r>
    </w:p>
    <w:p>
      <w:pPr>
        <w:pStyle w:val="Heading3"/>
        <w:spacing w:after="80" w:before="200"/>
      </w:pPr>
      <w:r>
        <w:rPr>
          <w:rFonts w:ascii="Arial" w:cs="Arial" w:eastAsia="Arial" w:hAnsi="Arial"/>
          <w:b/>
          <w:bCs/>
          <w:color w:val="111827"/>
          <w:sz w:val="22"/>
          <w:szCs w:val="22"/>
        </w:rPr>
        <w:t xml:space="preserve">4.1 AI &amp; Prompt Quality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EFF6FF" w:val="clear"/>
            <w:tcMar>
              <w:top w:type="dxa" w:w="80"/>
              <w:left w:type="dxa" w:w="60"/>
              <w:bottom w:type="dxa" w:w="80"/>
              <w:right w:type="dxa" w:w="60"/>
            </w:tcMar>
            <w:vAlign w:val="center"/>
          </w:tcPr>
          <w:p>
            <w:pPr>
              <w:jc w:val="center"/>
            </w:pPr>
            <w:r>
              <w:rPr>
                <w:rFonts w:ascii="Arial" w:cs="Arial" w:eastAsia="Arial" w:hAnsi="Arial"/>
                <w:b/>
                <w:bCs/>
                <w:color w:val="1A56DB"/>
                <w:sz w:val="18"/>
                <w:szCs w:val="18"/>
              </w:rPr>
              <w:t xml:space="preserve">A-01</w:t>
            </w:r>
          </w:p>
        </w:tc>
        <w:tc>
          <w:tcPr>
            <w:tcW w:type="dxa" w:w="1100"/>
            <w:tcBorders>
              <w:top w:val="single" w:color="DDDDDD" w:sz="4"/>
              <w:left w:val="single" w:color="DDDDDD" w:sz="4"/>
              <w:bottom w:val="single" w:color="DDDDDD" w:sz="4"/>
              <w:right w:val="single" w:color="DDDDDD" w:sz="4"/>
            </w:tcBorders>
            <w:shd w:fill="EFF6FF" w:val="clear"/>
            <w:tcMar>
              <w:top w:type="dxa" w:w="80"/>
              <w:left w:type="dxa" w:w="100"/>
              <w:bottom w:type="dxa" w:w="80"/>
              <w:right w:type="dxa" w:w="60"/>
            </w:tcMar>
          </w:tcPr>
          <w:p>
            <w:pPr>
              <w:jc w:val="center"/>
            </w:pPr>
            <w:r>
              <w:rPr>
                <w:rFonts w:ascii="Arial" w:cs="Arial" w:eastAsia="Arial" w:hAnsi="Arial"/>
                <w:b/>
                <w:bCs/>
                <w:color w:val="1A56DB"/>
                <w:sz w:val="16"/>
                <w:szCs w:val="16"/>
              </w:rPr>
              <w:t xml:space="preserve">MEDIUM</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QuickReplies Regex Fails on Multi-Line JSON</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The extractQuickReplies function uses the regex /\{"quickReplies"\s*:\s*(\[.*?\])\}/ where .*? does not match newlines. If the AI model formats the quickReplies JSON with line breaks inside the array (occasionally happens with Gemini), the regex returns no match and no quick reply chips appear (B4 bug).</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Add the 's' flag (dotAll) to the regex: /\{"quickReplies"\s*:\s*(\[.*?\])\}/s — or better, use a more robust JSON extraction: find '{"quickReplies"' in the string, then use JSON.parse on the substring from that position.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EFF6FF" w:val="clear"/>
            <w:tcMar>
              <w:top w:type="dxa" w:w="80"/>
              <w:left w:type="dxa" w:w="60"/>
              <w:bottom w:type="dxa" w:w="80"/>
              <w:right w:type="dxa" w:w="60"/>
            </w:tcMar>
            <w:vAlign w:val="center"/>
          </w:tcPr>
          <w:p>
            <w:pPr>
              <w:jc w:val="center"/>
            </w:pPr>
            <w:r>
              <w:rPr>
                <w:rFonts w:ascii="Arial" w:cs="Arial" w:eastAsia="Arial" w:hAnsi="Arial"/>
                <w:b/>
                <w:bCs/>
                <w:color w:val="1A56DB"/>
                <w:sz w:val="18"/>
                <w:szCs w:val="18"/>
              </w:rPr>
              <w:t xml:space="preserve">A-02</w:t>
            </w:r>
          </w:p>
        </w:tc>
        <w:tc>
          <w:tcPr>
            <w:tcW w:type="dxa" w:w="1100"/>
            <w:tcBorders>
              <w:top w:val="single" w:color="DDDDDD" w:sz="4"/>
              <w:left w:val="single" w:color="DDDDDD" w:sz="4"/>
              <w:bottom w:val="single" w:color="DDDDDD" w:sz="4"/>
              <w:right w:val="single" w:color="DDDDDD" w:sz="4"/>
            </w:tcBorders>
            <w:shd w:fill="EFF6FF" w:val="clear"/>
            <w:tcMar>
              <w:top w:type="dxa" w:w="80"/>
              <w:left w:type="dxa" w:w="100"/>
              <w:bottom w:type="dxa" w:w="80"/>
              <w:right w:type="dxa" w:w="60"/>
            </w:tcMar>
          </w:tcPr>
          <w:p>
            <w:pPr>
              <w:jc w:val="center"/>
            </w:pPr>
            <w:r>
              <w:rPr>
                <w:rFonts w:ascii="Arial" w:cs="Arial" w:eastAsia="Arial" w:hAnsi="Arial"/>
                <w:b/>
                <w:bCs/>
                <w:color w:val="1A56DB"/>
                <w:sz w:val="16"/>
                <w:szCs w:val="16"/>
              </w:rPr>
              <w:t xml:space="preserve">MEDIUM</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Token Cost Grows Quadratically With Conversation Length</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The full conversation history is sent to Gemini on every request. The system prompt alone is ~7,000+ characters. At 50 messages × 5,000 chars each + 15,000 chars system context = 40,000+ tokens per late-stage request. For Arabic text (longer token representation), costs can be 2-3x higher than English. A full 20-question assessment could cost 15-25 cents in API fees.</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Implement conversation summarization: after 12 messages, summarize the first 8 messages into a compact patient summary paragraph and replace them in the history. This reduces token usage by ~60% for long conversations. Alternatively, use a sliding window of the last 12 messages + the summary.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EFF6FF" w:val="clear"/>
            <w:tcMar>
              <w:top w:type="dxa" w:w="80"/>
              <w:left w:type="dxa" w:w="60"/>
              <w:bottom w:type="dxa" w:w="80"/>
              <w:right w:type="dxa" w:w="60"/>
            </w:tcMar>
            <w:vAlign w:val="center"/>
          </w:tcPr>
          <w:p>
            <w:pPr>
              <w:jc w:val="center"/>
            </w:pPr>
            <w:r>
              <w:rPr>
                <w:rFonts w:ascii="Arial" w:cs="Arial" w:eastAsia="Arial" w:hAnsi="Arial"/>
                <w:b/>
                <w:bCs/>
                <w:color w:val="1A56DB"/>
                <w:sz w:val="18"/>
                <w:szCs w:val="18"/>
              </w:rPr>
              <w:t xml:space="preserve">A-03</w:t>
            </w:r>
          </w:p>
        </w:tc>
        <w:tc>
          <w:tcPr>
            <w:tcW w:type="dxa" w:w="1100"/>
            <w:tcBorders>
              <w:top w:val="single" w:color="DDDDDD" w:sz="4"/>
              <w:left w:val="single" w:color="DDDDDD" w:sz="4"/>
              <w:bottom w:val="single" w:color="DDDDDD" w:sz="4"/>
              <w:right w:val="single" w:color="DDDDDD" w:sz="4"/>
            </w:tcBorders>
            <w:shd w:fill="EFF6FF" w:val="clear"/>
            <w:tcMar>
              <w:top w:type="dxa" w:w="80"/>
              <w:left w:type="dxa" w:w="100"/>
              <w:bottom w:type="dxa" w:w="80"/>
              <w:right w:type="dxa" w:w="60"/>
            </w:tcMar>
          </w:tcPr>
          <w:p>
            <w:pPr>
              <w:jc w:val="center"/>
            </w:pPr>
            <w:r>
              <w:rPr>
                <w:rFonts w:ascii="Arial" w:cs="Arial" w:eastAsia="Arial" w:hAnsi="Arial"/>
                <w:b/>
                <w:bCs/>
                <w:color w:val="1A56DB"/>
                <w:sz w:val="16"/>
                <w:szCs w:val="16"/>
              </w:rPr>
              <w:t xml:space="preserve">MEDIUM</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Disease Matching Runs on Every Request With No Caching</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matchDiseases() is called on every /api/assess request, scanning 128 Arabic symptom keywords against the conversation text. While fast for a single call, there is no result caching. For a 20-turn conversation, the same early messages are re-scanned each time. Additionally, the matching currently only scans user messages (correct), but a match from turn 3 that's still relevant at turn 15 will dominate the results.</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Cache the disease match result client-side: once a disease is matched, keep it in the context for the remainder of the session. Consider sending the current matched diseases with each request so the server doesn't re-compute from scratch.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EFF6FF" w:val="clear"/>
            <w:tcMar>
              <w:top w:type="dxa" w:w="80"/>
              <w:left w:type="dxa" w:w="60"/>
              <w:bottom w:type="dxa" w:w="80"/>
              <w:right w:type="dxa" w:w="60"/>
            </w:tcMar>
            <w:vAlign w:val="center"/>
          </w:tcPr>
          <w:p>
            <w:pPr>
              <w:jc w:val="center"/>
            </w:pPr>
            <w:r>
              <w:rPr>
                <w:rFonts w:ascii="Arial" w:cs="Arial" w:eastAsia="Arial" w:hAnsi="Arial"/>
                <w:b/>
                <w:bCs/>
                <w:color w:val="1A56DB"/>
                <w:sz w:val="18"/>
                <w:szCs w:val="18"/>
              </w:rPr>
              <w:t xml:space="preserve">A-04</w:t>
            </w:r>
          </w:p>
        </w:tc>
        <w:tc>
          <w:tcPr>
            <w:tcW w:type="dxa" w:w="1100"/>
            <w:tcBorders>
              <w:top w:val="single" w:color="DDDDDD" w:sz="4"/>
              <w:left w:val="single" w:color="DDDDDD" w:sz="4"/>
              <w:bottom w:val="single" w:color="DDDDDD" w:sz="4"/>
              <w:right w:val="single" w:color="DDDDDD" w:sz="4"/>
            </w:tcBorders>
            <w:shd w:fill="EFF6FF" w:val="clear"/>
            <w:tcMar>
              <w:top w:type="dxa" w:w="80"/>
              <w:left w:type="dxa" w:w="100"/>
              <w:bottom w:type="dxa" w:w="80"/>
              <w:right w:type="dxa" w:w="60"/>
            </w:tcMar>
          </w:tcPr>
          <w:p>
            <w:pPr>
              <w:jc w:val="center"/>
            </w:pPr>
            <w:r>
              <w:rPr>
                <w:rFonts w:ascii="Arial" w:cs="Arial" w:eastAsia="Arial" w:hAnsi="Arial"/>
                <w:b/>
                <w:bCs/>
                <w:color w:val="1A56DB"/>
                <w:sz w:val="16"/>
                <w:szCs w:val="16"/>
              </w:rPr>
              <w:t xml:space="preserve">MEDIUM</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B5 — Arabic/English Language Mixing in JSON Values</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Despite the prompt instruction 'When the session language is Arabic, ALL text values in the JSON recommendation block MUST be in Arabic', Gemini 2.5 Flash occasionally mixes English terms for urgency levels, follow-up timeframes, and test urgency values (e.g., 'urgent' instead of 'عاجل', 'within 24 hours' instead of 'خلال 24 ساعة'). The RecommendationCard displays these raw JSON values directly.</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Add a post-processing normalization function on the client that maps English urgency/triage strings to Arabic: { 'urgent': 'عاجل', 'emergency': 'طوارئ', 'routine': 'روتيني', 'immediately': 'فوراً', 'within 24 hours': 'خلال 24 ساعة', 'within a week': 'خلال أسبوع' }. Apply this in normalizeResult() in assessment.tsx.</w:t>
            </w:r>
          </w:p>
        </w:tc>
      </w:tr>
    </w:tbl>
    <w:p>
      <w:pPr>
        <w:spacing w:after="0" w:before="200"/>
      </w:pPr>
      <w:r>
        <w:t xml:space="preserve"/>
      </w:r>
    </w:p>
    <w:p>
      <w:pPr>
        <w:pStyle w:val="Heading3"/>
        <w:spacing w:after="80" w:before="200"/>
      </w:pPr>
      <w:r>
        <w:rPr>
          <w:rFonts w:ascii="Arial" w:cs="Arial" w:eastAsia="Arial" w:hAnsi="Arial"/>
          <w:b/>
          <w:bCs/>
          <w:color w:val="111827"/>
          <w:sz w:val="22"/>
          <w:szCs w:val="22"/>
        </w:rPr>
        <w:t xml:space="preserve">4.2 Database &amp; Encryption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EFF6FF" w:val="clear"/>
            <w:tcMar>
              <w:top w:type="dxa" w:w="80"/>
              <w:left w:type="dxa" w:w="60"/>
              <w:bottom w:type="dxa" w:w="80"/>
              <w:right w:type="dxa" w:w="60"/>
            </w:tcMar>
            <w:vAlign w:val="center"/>
          </w:tcPr>
          <w:p>
            <w:pPr>
              <w:jc w:val="center"/>
            </w:pPr>
            <w:r>
              <w:rPr>
                <w:rFonts w:ascii="Arial" w:cs="Arial" w:eastAsia="Arial" w:hAnsi="Arial"/>
                <w:b/>
                <w:bCs/>
                <w:color w:val="1A56DB"/>
                <w:sz w:val="18"/>
                <w:szCs w:val="18"/>
              </w:rPr>
              <w:t xml:space="preserve">D-01</w:t>
            </w:r>
          </w:p>
        </w:tc>
        <w:tc>
          <w:tcPr>
            <w:tcW w:type="dxa" w:w="1100"/>
            <w:tcBorders>
              <w:top w:val="single" w:color="DDDDDD" w:sz="4"/>
              <w:left w:val="single" w:color="DDDDDD" w:sz="4"/>
              <w:bottom w:val="single" w:color="DDDDDD" w:sz="4"/>
              <w:right w:val="single" w:color="DDDDDD" w:sz="4"/>
            </w:tcBorders>
            <w:shd w:fill="EFF6FF" w:val="clear"/>
            <w:tcMar>
              <w:top w:type="dxa" w:w="80"/>
              <w:left w:type="dxa" w:w="100"/>
              <w:bottom w:type="dxa" w:w="80"/>
              <w:right w:type="dxa" w:w="60"/>
            </w:tcMar>
          </w:tcPr>
          <w:p>
            <w:pPr>
              <w:jc w:val="center"/>
            </w:pPr>
            <w:r>
              <w:rPr>
                <w:rFonts w:ascii="Arial" w:cs="Arial" w:eastAsia="Arial" w:hAnsi="Arial"/>
                <w:b/>
                <w:bCs/>
                <w:color w:val="1A56DB"/>
                <w:sz w:val="16"/>
                <w:szCs w:val="16"/>
              </w:rPr>
              <w:t xml:space="preserve">MEDIUM</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Encryption Key Derivation Uses Simple SHA-256 (No KDF)</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server/encryption.ts line 12: crypto.createHash('sha256').update(key).digest(). This hashes the ENCRYPTION_KEY string to produce a 32-byte AES key. SHA-256 has no salt and no iterations, meaning a short or guessable ENCRYPTION_KEY provides minimal protection. If the key was set to a simple password like 'tabibi123', it can be brute-forced trivially.</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Replace the SHA-256 hash with a proper Key Derivation Function: use crypto.scryptSync(key, salt, 32) with a fixed application salt (stored separately from the key), or use PBKDF2 with 100,000 iterations. The salt does not need to be secret but should be application-specific.</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EFF6FF" w:val="clear"/>
            <w:tcMar>
              <w:top w:type="dxa" w:w="80"/>
              <w:left w:type="dxa" w:w="60"/>
              <w:bottom w:type="dxa" w:w="80"/>
              <w:right w:type="dxa" w:w="60"/>
            </w:tcMar>
            <w:vAlign w:val="center"/>
          </w:tcPr>
          <w:p>
            <w:pPr>
              <w:jc w:val="center"/>
            </w:pPr>
            <w:r>
              <w:rPr>
                <w:rFonts w:ascii="Arial" w:cs="Arial" w:eastAsia="Arial" w:hAnsi="Arial"/>
                <w:b/>
                <w:bCs/>
                <w:color w:val="1A56DB"/>
                <w:sz w:val="18"/>
                <w:szCs w:val="18"/>
              </w:rPr>
              <w:t xml:space="preserve">D-02</w:t>
            </w:r>
          </w:p>
        </w:tc>
        <w:tc>
          <w:tcPr>
            <w:tcW w:type="dxa" w:w="1100"/>
            <w:tcBorders>
              <w:top w:val="single" w:color="DDDDDD" w:sz="4"/>
              <w:left w:val="single" w:color="DDDDDD" w:sz="4"/>
              <w:bottom w:val="single" w:color="DDDDDD" w:sz="4"/>
              <w:right w:val="single" w:color="DDDDDD" w:sz="4"/>
            </w:tcBorders>
            <w:shd w:fill="EFF6FF" w:val="clear"/>
            <w:tcMar>
              <w:top w:type="dxa" w:w="80"/>
              <w:left w:type="dxa" w:w="100"/>
              <w:bottom w:type="dxa" w:w="80"/>
              <w:right w:type="dxa" w:w="60"/>
            </w:tcMar>
          </w:tcPr>
          <w:p>
            <w:pPr>
              <w:jc w:val="center"/>
            </w:pPr>
            <w:r>
              <w:rPr>
                <w:rFonts w:ascii="Arial" w:cs="Arial" w:eastAsia="Arial" w:hAnsi="Arial"/>
                <w:b/>
                <w:bCs/>
                <w:color w:val="1A56DB"/>
                <w:sz w:val="16"/>
                <w:szCs w:val="16"/>
              </w:rPr>
              <w:t xml:space="preserve">MEDIUM</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Assessment History Stored Only in Client AsyncStorage</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Chat messages, assessment results, and emergency alerts are stored only in AsyncStorage on the user's device via lib/storage.ts. If the user uninstalls the app, clears app data, or switches to a new device, ALL assessment history is permanently lost. The healthEvents and healthProfiles tables in the database exist but chat history is not synced to them.</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Add a server-side endpoint to sync completed assessments. When an assessment is finalized (finishAssessment() is called), POST the assessment summary (not full chat transcript) to the server. Store condition, severity, date, medications prescribed, and chief complaint in healthEvents. Implement a sync-on-login mechanism to restore history on new devices.</w:t>
            </w:r>
          </w:p>
        </w:tc>
      </w:tr>
    </w:tbl>
    <w:p>
      <w:pPr>
        <w:spacing w:after="0" w:before="200"/>
      </w:pPr>
      <w:r>
        <w:t xml:space="preserve"/>
      </w:r>
    </w:p>
    <w:p>
      <w:pPr>
        <w:pStyle w:val="Heading3"/>
        <w:spacing w:after="80" w:before="200"/>
      </w:pPr>
      <w:r>
        <w:rPr>
          <w:rFonts w:ascii="Arial" w:cs="Arial" w:eastAsia="Arial" w:hAnsi="Arial"/>
          <w:b/>
          <w:bCs/>
          <w:color w:val="111827"/>
          <w:sz w:val="22"/>
          <w:szCs w:val="22"/>
        </w:rPr>
        <w:t xml:space="preserve">4.3 Auth &amp; Session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EFF6FF" w:val="clear"/>
            <w:tcMar>
              <w:top w:type="dxa" w:w="80"/>
              <w:left w:type="dxa" w:w="60"/>
              <w:bottom w:type="dxa" w:w="80"/>
              <w:right w:type="dxa" w:w="60"/>
            </w:tcMar>
            <w:vAlign w:val="center"/>
          </w:tcPr>
          <w:p>
            <w:pPr>
              <w:jc w:val="center"/>
            </w:pPr>
            <w:r>
              <w:rPr>
                <w:rFonts w:ascii="Arial" w:cs="Arial" w:eastAsia="Arial" w:hAnsi="Arial"/>
                <w:b/>
                <w:bCs/>
                <w:color w:val="1A56DB"/>
                <w:sz w:val="18"/>
                <w:szCs w:val="18"/>
              </w:rPr>
              <w:t xml:space="preserve">AU-01</w:t>
            </w:r>
          </w:p>
        </w:tc>
        <w:tc>
          <w:tcPr>
            <w:tcW w:type="dxa" w:w="1100"/>
            <w:tcBorders>
              <w:top w:val="single" w:color="DDDDDD" w:sz="4"/>
              <w:left w:val="single" w:color="DDDDDD" w:sz="4"/>
              <w:bottom w:val="single" w:color="DDDDDD" w:sz="4"/>
              <w:right w:val="single" w:color="DDDDDD" w:sz="4"/>
            </w:tcBorders>
            <w:shd w:fill="EFF6FF" w:val="clear"/>
            <w:tcMar>
              <w:top w:type="dxa" w:w="80"/>
              <w:left w:type="dxa" w:w="100"/>
              <w:bottom w:type="dxa" w:w="80"/>
              <w:right w:type="dxa" w:w="60"/>
            </w:tcMar>
          </w:tcPr>
          <w:p>
            <w:pPr>
              <w:jc w:val="center"/>
            </w:pPr>
            <w:r>
              <w:rPr>
                <w:rFonts w:ascii="Arial" w:cs="Arial" w:eastAsia="Arial" w:hAnsi="Arial"/>
                <w:b/>
                <w:bCs/>
                <w:color w:val="1A56DB"/>
                <w:sz w:val="16"/>
                <w:szCs w:val="16"/>
              </w:rPr>
              <w:t xml:space="preserve">MEDIUM</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Phone Auth App Verification Disabled in Dev Mode</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AuthContext.tsx lines 210-212: if (__DEV__) { (auth as any).settings.appVerificationDisabledForTesting = true; } This completely disables phone number verification (no SMS, no reCAPTCHA) in development mode. On Replit, the __DEV__ flag may be true even in 'production' if the build is not properly configured, effectively making phone auth unverified.</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Remove this block entirely from production code. Use Firebase's built-in test phone numbers feature for development instead. If testing with real numbers is needed, use a separate Firebase project for development.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EFF6FF" w:val="clear"/>
            <w:tcMar>
              <w:top w:type="dxa" w:w="80"/>
              <w:left w:type="dxa" w:w="60"/>
              <w:bottom w:type="dxa" w:w="80"/>
              <w:right w:type="dxa" w:w="60"/>
            </w:tcMar>
            <w:vAlign w:val="center"/>
          </w:tcPr>
          <w:p>
            <w:pPr>
              <w:jc w:val="center"/>
            </w:pPr>
            <w:r>
              <w:rPr>
                <w:rFonts w:ascii="Arial" w:cs="Arial" w:eastAsia="Arial" w:hAnsi="Arial"/>
                <w:b/>
                <w:bCs/>
                <w:color w:val="1A56DB"/>
                <w:sz w:val="18"/>
                <w:szCs w:val="18"/>
              </w:rPr>
              <w:t xml:space="preserve">AU-02</w:t>
            </w:r>
          </w:p>
        </w:tc>
        <w:tc>
          <w:tcPr>
            <w:tcW w:type="dxa" w:w="1100"/>
            <w:tcBorders>
              <w:top w:val="single" w:color="DDDDDD" w:sz="4"/>
              <w:left w:val="single" w:color="DDDDDD" w:sz="4"/>
              <w:bottom w:val="single" w:color="DDDDDD" w:sz="4"/>
              <w:right w:val="single" w:color="DDDDDD" w:sz="4"/>
            </w:tcBorders>
            <w:shd w:fill="EFF6FF" w:val="clear"/>
            <w:tcMar>
              <w:top w:type="dxa" w:w="80"/>
              <w:left w:type="dxa" w:w="100"/>
              <w:bottom w:type="dxa" w:w="80"/>
              <w:right w:type="dxa" w:w="60"/>
            </w:tcMar>
          </w:tcPr>
          <w:p>
            <w:pPr>
              <w:jc w:val="center"/>
            </w:pPr>
            <w:r>
              <w:rPr>
                <w:rFonts w:ascii="Arial" w:cs="Arial" w:eastAsia="Arial" w:hAnsi="Arial"/>
                <w:b/>
                <w:bCs/>
                <w:color w:val="1A56DB"/>
                <w:sz w:val="16"/>
                <w:szCs w:val="16"/>
              </w:rPr>
              <w:t xml:space="preserve">MEDIUM</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updateOrder Encrypts Partial Fields Unsafely</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storage.ts line 128: encryptOrder(data as InsertOrder) casts a partial update object to a full InsertOrder type. If you call updateOrder(id, { status: 'delivered' }), the encryptOrder function runs on an object with mostly undefined fields, calling encrypt(undefined) on each field — which would throw or silently do nothing depending on the falsy check at line 33.</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Create a separate encryptPartialOrder(data: Partial&lt;InsertOrder&gt;): Partial&lt;InsertOrder&gt; function that only encrypts fields that are present and non-null in the update object.</w:t>
            </w:r>
          </w:p>
        </w:tc>
      </w:tr>
    </w:tbl>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A56DB" w:sz="4"/>
              <w:right w:val="none" w:color="FFFFFF" w:sz="0"/>
            </w:tcBorders>
            <w:shd w:fill="EFF6FF" w:val="clear"/>
            <w:tcMar>
              <w:top w:type="dxa" w:w="120"/>
              <w:left w:type="dxa" w:w="160"/>
              <w:bottom w:type="dxa" w:w="120"/>
              <w:right w:type="dxa" w:w="160"/>
            </w:tcMar>
          </w:tcPr>
          <w:p>
            <w:r>
              <w:rPr>
                <w:rFonts w:ascii="Arial" w:cs="Arial" w:eastAsia="Arial" w:hAnsi="Arial"/>
                <w:b/>
                <w:bCs/>
                <w:color w:val="1A56DB"/>
                <w:sz w:val="28"/>
                <w:szCs w:val="28"/>
              </w:rPr>
              <w:t xml:space="preserve">5. Low Priority &amp; UX Improvements</w:t>
            </w:r>
          </w:p>
          <w:p>
            <w:r>
              <w:rPr>
                <w:rFonts w:ascii="Arial" w:cs="Arial" w:eastAsia="Arial" w:hAnsi="Arial"/>
                <w:color w:val="6B7280"/>
                <w:sz w:val="18"/>
                <w:szCs w:val="18"/>
              </w:rPr>
              <w:t xml:space="preserve">Refinements for better user experience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ECFDF5" w:val="clear"/>
            <w:tcMar>
              <w:top w:type="dxa" w:w="80"/>
              <w:left w:type="dxa" w:w="60"/>
              <w:bottom w:type="dxa" w:w="80"/>
              <w:right w:type="dxa" w:w="60"/>
            </w:tcMar>
            <w:vAlign w:val="center"/>
          </w:tcPr>
          <w:p>
            <w:pPr>
              <w:jc w:val="center"/>
            </w:pPr>
            <w:r>
              <w:rPr>
                <w:rFonts w:ascii="Arial" w:cs="Arial" w:eastAsia="Arial" w:hAnsi="Arial"/>
                <w:b/>
                <w:bCs/>
                <w:color w:val="057A55"/>
                <w:sz w:val="18"/>
                <w:szCs w:val="18"/>
              </w:rPr>
              <w:t xml:space="preserve">U-01</w:t>
            </w:r>
          </w:p>
        </w:tc>
        <w:tc>
          <w:tcPr>
            <w:tcW w:type="dxa" w:w="1100"/>
            <w:tcBorders>
              <w:top w:val="single" w:color="DDDDDD" w:sz="4"/>
              <w:left w:val="single" w:color="DDDDDD" w:sz="4"/>
              <w:bottom w:val="single" w:color="DDDDDD" w:sz="4"/>
              <w:right w:val="single" w:color="DDDDDD" w:sz="4"/>
            </w:tcBorders>
            <w:shd w:fill="ECFDF5" w:val="clear"/>
            <w:tcMar>
              <w:top w:type="dxa" w:w="80"/>
              <w:left w:type="dxa" w:w="100"/>
              <w:bottom w:type="dxa" w:w="80"/>
              <w:right w:type="dxa" w:w="60"/>
            </w:tcMar>
          </w:tcPr>
          <w:p>
            <w:pPr>
              <w:jc w:val="center"/>
            </w:pPr>
            <w:r>
              <w:rPr>
                <w:rFonts w:ascii="Arial" w:cs="Arial" w:eastAsia="Arial" w:hAnsi="Arial"/>
                <w:b/>
                <w:bCs/>
                <w:color w:val="057A55"/>
                <w:sz w:val="16"/>
                <w:szCs w:val="16"/>
              </w:rPr>
              <w:t xml:space="preserve">LOW</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selectedMeds State Not Reset When Result Changes</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RecommendationCard.tsx lines 46-47: the selectedMeds state is initialized once with useMemo from the initial medicines list. If the assessmentResult prop changes (user continues conversation and gets a new result), the selectedMeds state keeps the old medicine selection pattern — old checkboxes for new medicines.</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Add a useEffect that resets selectedMeds when the medicines array changes: useEffect(() =&gt; { setSelectedMeds(Object.fromEntries(medicines.map((_,i) =&gt; [i, true]))); }, [medicines.length]).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ECFDF5" w:val="clear"/>
            <w:tcMar>
              <w:top w:type="dxa" w:w="80"/>
              <w:left w:type="dxa" w:w="60"/>
              <w:bottom w:type="dxa" w:w="80"/>
              <w:right w:type="dxa" w:w="60"/>
            </w:tcMar>
            <w:vAlign w:val="center"/>
          </w:tcPr>
          <w:p>
            <w:pPr>
              <w:jc w:val="center"/>
            </w:pPr>
            <w:r>
              <w:rPr>
                <w:rFonts w:ascii="Arial" w:cs="Arial" w:eastAsia="Arial" w:hAnsi="Arial"/>
                <w:b/>
                <w:bCs/>
                <w:color w:val="057A55"/>
                <w:sz w:val="18"/>
                <w:szCs w:val="18"/>
              </w:rPr>
              <w:t xml:space="preserve">U-02</w:t>
            </w:r>
          </w:p>
        </w:tc>
        <w:tc>
          <w:tcPr>
            <w:tcW w:type="dxa" w:w="1100"/>
            <w:tcBorders>
              <w:top w:val="single" w:color="DDDDDD" w:sz="4"/>
              <w:left w:val="single" w:color="DDDDDD" w:sz="4"/>
              <w:bottom w:val="single" w:color="DDDDDD" w:sz="4"/>
              <w:right w:val="single" w:color="DDDDDD" w:sz="4"/>
            </w:tcBorders>
            <w:shd w:fill="ECFDF5" w:val="clear"/>
            <w:tcMar>
              <w:top w:type="dxa" w:w="80"/>
              <w:left w:type="dxa" w:w="100"/>
              <w:bottom w:type="dxa" w:w="80"/>
              <w:right w:type="dxa" w:w="60"/>
            </w:tcMar>
          </w:tcPr>
          <w:p>
            <w:pPr>
              <w:jc w:val="center"/>
            </w:pPr>
            <w:r>
              <w:rPr>
                <w:rFonts w:ascii="Arial" w:cs="Arial" w:eastAsia="Arial" w:hAnsi="Arial"/>
                <w:b/>
                <w:bCs/>
                <w:color w:val="057A55"/>
                <w:sz w:val="16"/>
                <w:szCs w:val="16"/>
              </w:rPr>
              <w:t xml:space="preserve">LOW</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Image Mime Type Detection is Fragile</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assessment.tsx line 161: const mimeType = asset.uri.toLowerCase().includes('.png') ? 'image/png' : 'image/jpeg'. HEIC/HEIF images from iOS cameras are labeled as 'image/jpeg', which may cause issues with Gemini's image processing. The asset object from expo-image-picker has a type property that should be used.</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Use asset.type if available, or detect from the URI extension with a comprehensive switch statement covering .png, .jpg, .jpeg, .heic, .heif, .webp. Default to 'image/jpeg' only as last resort.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ECFDF5" w:val="clear"/>
            <w:tcMar>
              <w:top w:type="dxa" w:w="80"/>
              <w:left w:type="dxa" w:w="60"/>
              <w:bottom w:type="dxa" w:w="80"/>
              <w:right w:type="dxa" w:w="60"/>
            </w:tcMar>
            <w:vAlign w:val="center"/>
          </w:tcPr>
          <w:p>
            <w:pPr>
              <w:jc w:val="center"/>
            </w:pPr>
            <w:r>
              <w:rPr>
                <w:rFonts w:ascii="Arial" w:cs="Arial" w:eastAsia="Arial" w:hAnsi="Arial"/>
                <w:b/>
                <w:bCs/>
                <w:color w:val="057A55"/>
                <w:sz w:val="18"/>
                <w:szCs w:val="18"/>
              </w:rPr>
              <w:t xml:space="preserve">U-03</w:t>
            </w:r>
          </w:p>
        </w:tc>
        <w:tc>
          <w:tcPr>
            <w:tcW w:type="dxa" w:w="1100"/>
            <w:tcBorders>
              <w:top w:val="single" w:color="DDDDDD" w:sz="4"/>
              <w:left w:val="single" w:color="DDDDDD" w:sz="4"/>
              <w:bottom w:val="single" w:color="DDDDDD" w:sz="4"/>
              <w:right w:val="single" w:color="DDDDDD" w:sz="4"/>
            </w:tcBorders>
            <w:shd w:fill="ECFDF5" w:val="clear"/>
            <w:tcMar>
              <w:top w:type="dxa" w:w="80"/>
              <w:left w:type="dxa" w:w="100"/>
              <w:bottom w:type="dxa" w:w="80"/>
              <w:right w:type="dxa" w:w="60"/>
            </w:tcMar>
          </w:tcPr>
          <w:p>
            <w:pPr>
              <w:jc w:val="center"/>
            </w:pPr>
            <w:r>
              <w:rPr>
                <w:rFonts w:ascii="Arial" w:cs="Arial" w:eastAsia="Arial" w:hAnsi="Arial"/>
                <w:b/>
                <w:bCs/>
                <w:color w:val="057A55"/>
                <w:sz w:val="16"/>
                <w:szCs w:val="16"/>
              </w:rPr>
              <w:t xml:space="preserve">LOW</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getProfile() Called Twice Per Message Send</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assessment.tsx calls getProfile() at line 220 (before API call) and again at line 490 (after API response, to save the assessment). This is two AsyncStorage reads per message. While fast, the second call means the saved assessment might use profile data that changed during the AI response.</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Save the profile from the first getProfile() call into a variable at the top of sendMessage() and reuse it for both the API request and the assessment save. This ensures the saved assessment always reflects what was actually sent to the AI.</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ECFDF5" w:val="clear"/>
            <w:tcMar>
              <w:top w:type="dxa" w:w="80"/>
              <w:left w:type="dxa" w:w="60"/>
              <w:bottom w:type="dxa" w:w="80"/>
              <w:right w:type="dxa" w:w="60"/>
            </w:tcMar>
            <w:vAlign w:val="center"/>
          </w:tcPr>
          <w:p>
            <w:pPr>
              <w:jc w:val="center"/>
            </w:pPr>
            <w:r>
              <w:rPr>
                <w:rFonts w:ascii="Arial" w:cs="Arial" w:eastAsia="Arial" w:hAnsi="Arial"/>
                <w:b/>
                <w:bCs/>
                <w:color w:val="057A55"/>
                <w:sz w:val="18"/>
                <w:szCs w:val="18"/>
              </w:rPr>
              <w:t xml:space="preserve">U-04</w:t>
            </w:r>
          </w:p>
        </w:tc>
        <w:tc>
          <w:tcPr>
            <w:tcW w:type="dxa" w:w="1100"/>
            <w:tcBorders>
              <w:top w:val="single" w:color="DDDDDD" w:sz="4"/>
              <w:left w:val="single" w:color="DDDDDD" w:sz="4"/>
              <w:bottom w:val="single" w:color="DDDDDD" w:sz="4"/>
              <w:right w:val="single" w:color="DDDDDD" w:sz="4"/>
            </w:tcBorders>
            <w:shd w:fill="ECFDF5" w:val="clear"/>
            <w:tcMar>
              <w:top w:type="dxa" w:w="80"/>
              <w:left w:type="dxa" w:w="100"/>
              <w:bottom w:type="dxa" w:w="80"/>
              <w:right w:type="dxa" w:w="60"/>
            </w:tcMar>
          </w:tcPr>
          <w:p>
            <w:pPr>
              <w:jc w:val="center"/>
            </w:pPr>
            <w:r>
              <w:rPr>
                <w:rFonts w:ascii="Arial" w:cs="Arial" w:eastAsia="Arial" w:hAnsi="Arial"/>
                <w:b/>
                <w:bCs/>
                <w:color w:val="057A55"/>
                <w:sz w:val="16"/>
                <w:szCs w:val="16"/>
              </w:rPr>
              <w:t xml:space="preserve">LOW</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Progress Bar Estimates Are Misleading</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assessment.tsx lines 688-690: the estimated total questions is 10 for simple cases and 16 for complex ones. But the AI adaptive system can finish in 6 questions for a simple cold or take 20 for a complex cardiac presentation. Users often see 'Step 8 of ~10' but then receive 5 more questions, undermining trust.</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Change the progress bar to show categorical progress instead of step counts: 'Gathering symptoms' (phases 0-1), 'Exploring risk factors' (phase 2-3), 'Finalizing assessment' (near conclusion). This is more honest about the adaptive nature and less likely to frustrate users.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ECFDF5" w:val="clear"/>
            <w:tcMar>
              <w:top w:type="dxa" w:w="80"/>
              <w:left w:type="dxa" w:w="60"/>
              <w:bottom w:type="dxa" w:w="80"/>
              <w:right w:type="dxa" w:w="60"/>
            </w:tcMar>
            <w:vAlign w:val="center"/>
          </w:tcPr>
          <w:p>
            <w:pPr>
              <w:jc w:val="center"/>
            </w:pPr>
            <w:r>
              <w:rPr>
                <w:rFonts w:ascii="Arial" w:cs="Arial" w:eastAsia="Arial" w:hAnsi="Arial"/>
                <w:b/>
                <w:bCs/>
                <w:color w:val="057A55"/>
                <w:sz w:val="18"/>
                <w:szCs w:val="18"/>
              </w:rPr>
              <w:t xml:space="preserve">U-05</w:t>
            </w:r>
          </w:p>
        </w:tc>
        <w:tc>
          <w:tcPr>
            <w:tcW w:type="dxa" w:w="1100"/>
            <w:tcBorders>
              <w:top w:val="single" w:color="DDDDDD" w:sz="4"/>
              <w:left w:val="single" w:color="DDDDDD" w:sz="4"/>
              <w:bottom w:val="single" w:color="DDDDDD" w:sz="4"/>
              <w:right w:val="single" w:color="DDDDDD" w:sz="4"/>
            </w:tcBorders>
            <w:shd w:fill="ECFDF5" w:val="clear"/>
            <w:tcMar>
              <w:top w:type="dxa" w:w="80"/>
              <w:left w:type="dxa" w:w="100"/>
              <w:bottom w:type="dxa" w:w="80"/>
              <w:right w:type="dxa" w:w="60"/>
            </w:tcMar>
          </w:tcPr>
          <w:p>
            <w:pPr>
              <w:jc w:val="center"/>
            </w:pPr>
            <w:r>
              <w:rPr>
                <w:rFonts w:ascii="Arial" w:cs="Arial" w:eastAsia="Arial" w:hAnsi="Arial"/>
                <w:b/>
                <w:bCs/>
                <w:color w:val="057A55"/>
                <w:sz w:val="16"/>
                <w:szCs w:val="16"/>
              </w:rPr>
              <w:t xml:space="preserve">LOW</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Console.log Leaks Medical Data to Server Logs</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ai.ts line 575: console.log('Image analysis completed:', imageAnalysis.substring(0, 200)). This logs up to 200 characters of medical image analysis (could include diagnosis text, lab results, imaging findings) to server logs. On Replit, these logs may be visible in the deployment dashboard.</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Replace medical content logs with structured metadata logging: console.log('[ImageAnalysis] Completed', { length: imageAnalysis.length, model: MODEL_PRO }). Never log actual medical content.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ECFDF5" w:val="clear"/>
            <w:tcMar>
              <w:top w:type="dxa" w:w="80"/>
              <w:left w:type="dxa" w:w="60"/>
              <w:bottom w:type="dxa" w:w="80"/>
              <w:right w:type="dxa" w:w="60"/>
            </w:tcMar>
            <w:vAlign w:val="center"/>
          </w:tcPr>
          <w:p>
            <w:pPr>
              <w:jc w:val="center"/>
            </w:pPr>
            <w:r>
              <w:rPr>
                <w:rFonts w:ascii="Arial" w:cs="Arial" w:eastAsia="Arial" w:hAnsi="Arial"/>
                <w:b/>
                <w:bCs/>
                <w:color w:val="057A55"/>
                <w:sz w:val="18"/>
                <w:szCs w:val="18"/>
              </w:rPr>
              <w:t xml:space="preserve">U-06</w:t>
            </w:r>
          </w:p>
        </w:tc>
        <w:tc>
          <w:tcPr>
            <w:tcW w:type="dxa" w:w="1100"/>
            <w:tcBorders>
              <w:top w:val="single" w:color="DDDDDD" w:sz="4"/>
              <w:left w:val="single" w:color="DDDDDD" w:sz="4"/>
              <w:bottom w:val="single" w:color="DDDDDD" w:sz="4"/>
              <w:right w:val="single" w:color="DDDDDD" w:sz="4"/>
            </w:tcBorders>
            <w:shd w:fill="ECFDF5" w:val="clear"/>
            <w:tcMar>
              <w:top w:type="dxa" w:w="80"/>
              <w:left w:type="dxa" w:w="100"/>
              <w:bottom w:type="dxa" w:w="80"/>
              <w:right w:type="dxa" w:w="60"/>
            </w:tcMar>
          </w:tcPr>
          <w:p>
            <w:pPr>
              <w:jc w:val="center"/>
            </w:pPr>
            <w:r>
              <w:rPr>
                <w:rFonts w:ascii="Arial" w:cs="Arial" w:eastAsia="Arial" w:hAnsi="Arial"/>
                <w:b/>
                <w:bCs/>
                <w:color w:val="057A55"/>
                <w:sz w:val="16"/>
                <w:szCs w:val="16"/>
              </w:rPr>
              <w:t xml:space="preserve">LOW</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No Timeout on Gemini Streaming Response</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The streaming loop (lines 618-627 of ai.ts) has no timeout. If Gemini takes more than 30-60 seconds (network issues, rate limiting, very long responses), the SSE connection hangs indefinitely. The client has no way to know if the server is still processing or has silently failed.</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Add a 60-second AbortController timeout around the stream: const controller = new AbortController(); const timeout = setTimeout(() =&gt; controller.abort(), 60000). Pass the signal to the Gemini SDK call. On abort, write a done event to the client and close the connection.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ECFDF5" w:val="clear"/>
            <w:tcMar>
              <w:top w:type="dxa" w:w="80"/>
              <w:left w:type="dxa" w:w="60"/>
              <w:bottom w:type="dxa" w:w="80"/>
              <w:right w:type="dxa" w:w="60"/>
            </w:tcMar>
            <w:vAlign w:val="center"/>
          </w:tcPr>
          <w:p>
            <w:pPr>
              <w:jc w:val="center"/>
            </w:pPr>
            <w:r>
              <w:rPr>
                <w:rFonts w:ascii="Arial" w:cs="Arial" w:eastAsia="Arial" w:hAnsi="Arial"/>
                <w:b/>
                <w:bCs/>
                <w:color w:val="057A55"/>
                <w:sz w:val="18"/>
                <w:szCs w:val="18"/>
              </w:rPr>
              <w:t xml:space="preserve">U-07</w:t>
            </w:r>
          </w:p>
        </w:tc>
        <w:tc>
          <w:tcPr>
            <w:tcW w:type="dxa" w:w="1100"/>
            <w:tcBorders>
              <w:top w:val="single" w:color="DDDDDD" w:sz="4"/>
              <w:left w:val="single" w:color="DDDDDD" w:sz="4"/>
              <w:bottom w:val="single" w:color="DDDDDD" w:sz="4"/>
              <w:right w:val="single" w:color="DDDDDD" w:sz="4"/>
            </w:tcBorders>
            <w:shd w:fill="ECFDF5" w:val="clear"/>
            <w:tcMar>
              <w:top w:type="dxa" w:w="80"/>
              <w:left w:type="dxa" w:w="100"/>
              <w:bottom w:type="dxa" w:w="80"/>
              <w:right w:type="dxa" w:w="60"/>
            </w:tcMar>
          </w:tcPr>
          <w:p>
            <w:pPr>
              <w:jc w:val="center"/>
            </w:pPr>
            <w:r>
              <w:rPr>
                <w:rFonts w:ascii="Arial" w:cs="Arial" w:eastAsia="Arial" w:hAnsi="Arial"/>
                <w:b/>
                <w:bCs/>
                <w:color w:val="057A55"/>
                <w:sz w:val="16"/>
                <w:szCs w:val="16"/>
              </w:rPr>
              <w:t xml:space="preserve">LOW</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Arab Severity Labels Missing 'critical' Variant</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RecommendationCard.tsx lines 92-95: The severity label logic only handles 'severe', 'urgent', and 'moderate'. If the AI ever returns severity='critical' (which is technically outside the defined enum but can happen), it falls through to the 'mild' (green) display — a dangerous false-safe presentation.</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Expand the severity color/label logic to include 'critical' as equivalent to 'severe'. Also, the Arabic label mapping should cover all possible values: add { 'critical': 'حرج', 'unknown': 'غير محدد' }. Treat any unknown severity as 'moderate' at minimum, never as 'mild'.</w:t>
            </w:r>
          </w:p>
        </w:tc>
      </w:tr>
    </w:tbl>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A56DB" w:sz="4"/>
              <w:right w:val="none" w:color="FFFFFF" w:sz="0"/>
            </w:tcBorders>
            <w:shd w:fill="EFF6FF" w:val="clear"/>
            <w:tcMar>
              <w:top w:type="dxa" w:w="120"/>
              <w:left w:type="dxa" w:w="160"/>
              <w:bottom w:type="dxa" w:w="120"/>
              <w:right w:type="dxa" w:w="160"/>
            </w:tcMar>
          </w:tcPr>
          <w:p>
            <w:r>
              <w:rPr>
                <w:rFonts w:ascii="Arial" w:cs="Arial" w:eastAsia="Arial" w:hAnsi="Arial"/>
                <w:b/>
                <w:bCs/>
                <w:color w:val="1A56DB"/>
                <w:sz w:val="28"/>
                <w:szCs w:val="28"/>
              </w:rPr>
              <w:t xml:space="preserve">6. Iraq-Specific Medical Quality Improvements</w:t>
            </w:r>
          </w:p>
          <w:p>
            <w:r>
              <w:rPr>
                <w:rFonts w:ascii="Arial" w:cs="Arial" w:eastAsia="Arial" w:hAnsi="Arial"/>
                <w:color w:val="6B7280"/>
                <w:sz w:val="18"/>
                <w:szCs w:val="18"/>
              </w:rPr>
              <w:t xml:space="preserve">Clinical accuracy for the Iraqi context</w:t>
            </w:r>
          </w:p>
        </w:tc>
      </w:tr>
    </w:tbl>
    <w:p>
      <w:pPr>
        <w:spacing w:after="0" w:before="160"/>
      </w:pPr>
      <w:r>
        <w:t xml:space="preserve"/>
      </w:r>
    </w:p>
    <w:p>
      <w:pPr>
        <w:spacing w:after="120"/>
      </w:pPr>
      <w:r>
        <w:rPr>
          <w:rFonts w:ascii="Arial" w:cs="Arial" w:eastAsia="Arial" w:hAnsi="Arial"/>
          <w:b w:val="false"/>
          <w:bCs w:val="false"/>
          <w:color w:val="111827"/>
          <w:sz w:val="22"/>
          <w:szCs w:val="22"/>
        </w:rPr>
        <w:t xml:space="preserve">The medical knowledge base is impressive and well-tailored to Iraq. The following improvements would enhance clinical accuracy:</w:t>
      </w:r>
    </w:p>
    <w:p>
      <w:pPr>
        <w:spacing w:after="0" w:before="120"/>
      </w:pPr>
      <w:r>
        <w:t xml:space="preserve"/>
      </w:r>
    </w:p>
    <w:p>
      <w:pPr>
        <w:pStyle w:val="Heading3"/>
        <w:spacing w:after="80" w:before="200"/>
      </w:pPr>
      <w:r>
        <w:rPr>
          <w:rFonts w:ascii="Arial" w:cs="Arial" w:eastAsia="Arial" w:hAnsi="Arial"/>
          <w:b/>
          <w:bCs/>
          <w:color w:val="111827"/>
          <w:sz w:val="22"/>
          <w:szCs w:val="22"/>
        </w:rPr>
        <w:t xml:space="preserve">6.1 Strengths Already Present</w:t>
      </w:r>
    </w:p>
    <w:p>
      <w:pPr>
        <w:pStyle w:val="ListParagraph"/>
        <w:numPr>
          <w:ilvl w:val="0"/>
          <w:numId w:val="2"/>
        </w:numPr>
        <w:spacing w:after="80"/>
      </w:pPr>
      <w:r>
        <w:rPr>
          <w:rFonts w:ascii="Arial" w:cs="Arial" w:eastAsia="Arial" w:hAnsi="Arial"/>
          <w:b w:val="false"/>
          <w:bCs w:val="false"/>
          <w:color w:val="111827"/>
          <w:sz w:val="20"/>
          <w:szCs w:val="20"/>
        </w:rPr>
        <w:t xml:space="preserve">73-disease Iraq epidemiology database with seasonal triggers (Ramadan, Eid, flooding)</w:t>
      </w:r>
    </w:p>
    <w:p>
      <w:pPr>
        <w:pStyle w:val="ListParagraph"/>
        <w:numPr>
          <w:ilvl w:val="0"/>
          <w:numId w:val="2"/>
        </w:numPr>
        <w:spacing w:after="80"/>
      </w:pPr>
      <w:r>
        <w:rPr>
          <w:rFonts w:ascii="Arial" w:cs="Arial" w:eastAsia="Arial" w:hAnsi="Arial"/>
          <w:b w:val="false"/>
          <w:bCs w:val="false"/>
          <w:color w:val="111827"/>
          <w:sz w:val="20"/>
          <w:szCs w:val="20"/>
        </w:rPr>
        <w:t xml:space="preserve">G6PD pharmacogenomics warning (8-12% Iraqi males) — prevents life-threatening prescriptions</w:t>
      </w:r>
    </w:p>
    <w:p>
      <w:pPr>
        <w:pStyle w:val="ListParagraph"/>
        <w:numPr>
          <w:ilvl w:val="0"/>
          <w:numId w:val="2"/>
        </w:numPr>
        <w:spacing w:after="80"/>
      </w:pPr>
      <w:r>
        <w:rPr>
          <w:rFonts w:ascii="Arial" w:cs="Arial" w:eastAsia="Arial" w:hAnsi="Arial"/>
          <w:b w:val="false"/>
          <w:bCs w:val="false"/>
          <w:color w:val="111827"/>
          <w:sz w:val="20"/>
          <w:szCs w:val="20"/>
        </w:rPr>
        <w:t xml:space="preserve">Neonatal tetanus emergency pathway (home deliveries still common in rural Iraq)</w:t>
      </w:r>
    </w:p>
    <w:p>
      <w:pPr>
        <w:pStyle w:val="ListParagraph"/>
        <w:numPr>
          <w:ilvl w:val="0"/>
          <w:numId w:val="2"/>
        </w:numPr>
        <w:spacing w:after="80"/>
      </w:pPr>
      <w:r>
        <w:rPr>
          <w:rFonts w:ascii="Arial" w:cs="Arial" w:eastAsia="Arial" w:hAnsi="Arial"/>
          <w:b w:val="false"/>
          <w:bCs w:val="false"/>
          <w:color w:val="111827"/>
          <w:sz w:val="20"/>
          <w:szCs w:val="20"/>
        </w:rPr>
        <w:t xml:space="preserve">Hepatitis E pregnancy warning (20% maternal mortality) — critical for Iraq</w:t>
      </w:r>
    </w:p>
    <w:p>
      <w:pPr>
        <w:pStyle w:val="ListParagraph"/>
        <w:numPr>
          <w:ilvl w:val="0"/>
          <w:numId w:val="2"/>
        </w:numPr>
        <w:spacing w:after="80"/>
      </w:pPr>
      <w:r>
        <w:rPr>
          <w:rFonts w:ascii="Arial" w:cs="Arial" w:eastAsia="Arial" w:hAnsi="Arial"/>
          <w:b w:val="false"/>
          <w:bCs w:val="false"/>
          <w:color w:val="111827"/>
          <w:sz w:val="20"/>
          <w:szCs w:val="20"/>
        </w:rPr>
        <w:t xml:space="preserve">CCHF (Crimean-Congo Hemorrhagic Fever) isolation protocol with Eid al-Adha trigger</w:t>
      </w:r>
    </w:p>
    <w:p>
      <w:pPr>
        <w:pStyle w:val="ListParagraph"/>
        <w:numPr>
          <w:ilvl w:val="0"/>
          <w:numId w:val="2"/>
        </w:numPr>
        <w:spacing w:after="80"/>
      </w:pPr>
      <w:r>
        <w:rPr>
          <w:rFonts w:ascii="Arial" w:cs="Arial" w:eastAsia="Arial" w:hAnsi="Arial"/>
          <w:b w:val="false"/>
          <w:bCs w:val="false"/>
          <w:color w:val="111827"/>
          <w:sz w:val="20"/>
          <w:szCs w:val="20"/>
        </w:rPr>
        <w:t xml:space="preserve">Iraqi brand names in Arabic script (SDI/Samarra, Julphar) with dosing in Iraqi market strengths</w:t>
      </w:r>
    </w:p>
    <w:p>
      <w:pPr>
        <w:spacing w:after="0" w:before="160"/>
      </w:pPr>
      <w:r>
        <w:t xml:space="preserve"/>
      </w:r>
    </w:p>
    <w:p>
      <w:pPr>
        <w:pStyle w:val="Heading3"/>
        <w:spacing w:after="80" w:before="200"/>
      </w:pPr>
      <w:r>
        <w:rPr>
          <w:rFonts w:ascii="Arial" w:cs="Arial" w:eastAsia="Arial" w:hAnsi="Arial"/>
          <w:b/>
          <w:bCs/>
          <w:color w:val="111827"/>
          <w:sz w:val="22"/>
          <w:szCs w:val="22"/>
        </w:rPr>
        <w:t xml:space="preserve">6.2 Missing Clinical Rules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EFF6FF" w:val="clear"/>
            <w:tcMar>
              <w:top w:type="dxa" w:w="80"/>
              <w:left w:type="dxa" w:w="60"/>
              <w:bottom w:type="dxa" w:w="80"/>
              <w:right w:type="dxa" w:w="60"/>
            </w:tcMar>
            <w:vAlign w:val="center"/>
          </w:tcPr>
          <w:p>
            <w:pPr>
              <w:jc w:val="center"/>
            </w:pPr>
            <w:r>
              <w:rPr>
                <w:rFonts w:ascii="Arial" w:cs="Arial" w:eastAsia="Arial" w:hAnsi="Arial"/>
                <w:b/>
                <w:bCs/>
                <w:color w:val="1A56DB"/>
                <w:sz w:val="18"/>
                <w:szCs w:val="18"/>
              </w:rPr>
              <w:t xml:space="preserve">M-01</w:t>
            </w:r>
          </w:p>
        </w:tc>
        <w:tc>
          <w:tcPr>
            <w:tcW w:type="dxa" w:w="1100"/>
            <w:tcBorders>
              <w:top w:val="single" w:color="DDDDDD" w:sz="4"/>
              <w:left w:val="single" w:color="DDDDDD" w:sz="4"/>
              <w:bottom w:val="single" w:color="DDDDDD" w:sz="4"/>
              <w:right w:val="single" w:color="DDDDDD" w:sz="4"/>
            </w:tcBorders>
            <w:shd w:fill="EFF6FF" w:val="clear"/>
            <w:tcMar>
              <w:top w:type="dxa" w:w="80"/>
              <w:left w:type="dxa" w:w="100"/>
              <w:bottom w:type="dxa" w:w="80"/>
              <w:right w:type="dxa" w:w="60"/>
            </w:tcMar>
          </w:tcPr>
          <w:p>
            <w:pPr>
              <w:jc w:val="center"/>
            </w:pPr>
            <w:r>
              <w:rPr>
                <w:rFonts w:ascii="Arial" w:cs="Arial" w:eastAsia="Arial" w:hAnsi="Arial"/>
                <w:b/>
                <w:bCs/>
                <w:color w:val="1A56DB"/>
                <w:sz w:val="16"/>
                <w:szCs w:val="16"/>
              </w:rPr>
              <w:t xml:space="preserve">MEDIUM</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No Leishmaniasis Guidance Beyond Screening Question</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The trigger rule for cutaneous leishmaniasis correctly asks about sandfly exposure, but there is no follow-up guidance: the disease cannot be treated with OTC medications, requires sodium stibogluconate (Pentostam) which is Ministry of Health controlled. The app should direct these cases to a dermatologist or MOH center, not a pharmacy.</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Add a specific pathway for suspected leishmaniasis: pathwayB with a 'Dermatology referral' and 'MOH dermatology center' as facilityType. Note that diagnosis requires tissue smear/PCR. Warn against self-treatment.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EFF6FF" w:val="clear"/>
            <w:tcMar>
              <w:top w:type="dxa" w:w="80"/>
              <w:left w:type="dxa" w:w="60"/>
              <w:bottom w:type="dxa" w:w="80"/>
              <w:right w:type="dxa" w:w="60"/>
            </w:tcMar>
            <w:vAlign w:val="center"/>
          </w:tcPr>
          <w:p>
            <w:pPr>
              <w:jc w:val="center"/>
            </w:pPr>
            <w:r>
              <w:rPr>
                <w:rFonts w:ascii="Arial" w:cs="Arial" w:eastAsia="Arial" w:hAnsi="Arial"/>
                <w:b/>
                <w:bCs/>
                <w:color w:val="1A56DB"/>
                <w:sz w:val="18"/>
                <w:szCs w:val="18"/>
              </w:rPr>
              <w:t xml:space="preserve">M-02</w:t>
            </w:r>
          </w:p>
        </w:tc>
        <w:tc>
          <w:tcPr>
            <w:tcW w:type="dxa" w:w="1100"/>
            <w:tcBorders>
              <w:top w:val="single" w:color="DDDDDD" w:sz="4"/>
              <w:left w:val="single" w:color="DDDDDD" w:sz="4"/>
              <w:bottom w:val="single" w:color="DDDDDD" w:sz="4"/>
              <w:right w:val="single" w:color="DDDDDD" w:sz="4"/>
            </w:tcBorders>
            <w:shd w:fill="EFF6FF" w:val="clear"/>
            <w:tcMar>
              <w:top w:type="dxa" w:w="80"/>
              <w:left w:type="dxa" w:w="100"/>
              <w:bottom w:type="dxa" w:w="80"/>
              <w:right w:type="dxa" w:w="60"/>
            </w:tcMar>
          </w:tcPr>
          <w:p>
            <w:pPr>
              <w:jc w:val="center"/>
            </w:pPr>
            <w:r>
              <w:rPr>
                <w:rFonts w:ascii="Arial" w:cs="Arial" w:eastAsia="Arial" w:hAnsi="Arial"/>
                <w:b/>
                <w:bCs/>
                <w:color w:val="1A56DB"/>
                <w:sz w:val="16"/>
                <w:szCs w:val="16"/>
              </w:rPr>
              <w:t xml:space="preserve">MEDIUM</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Renal Colic Guidance Missing Stone Passage Protocol</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The AI correctly recommends NSAIDs + antispasmodics for suspected renal colic, but the Iraq context is important: kidney stone prevalence is extremely high in Iraq due to heat, dehydration, and hard water (especially Basra/southern Iraq). The current protocol doesn't mention stone passage monitoring, hydration targets, or when to seek emergency care for urinary retention.</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Add to the renal colic pathway: daily fluid intake target (3+ liters), stone passage monitoring (straining urine), and emergency flags (complete urinary retention, fever with stone = infected hydronephrosis — EMERGENCY). Also: fluoroquinolones are problematic for UTI in Iraq due to resistance patterns — recommend urine culture before prescribing.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00"/>
        <w:gridCol w:w="1100"/>
        <w:gridCol w:w="7560"/>
      </w:tblGrid>
      <w:tr>
        <w:tc>
          <w:tcPr>
            <w:tcW w:type="dxa" w:w="700"/>
            <w:vMerge w:val="restart"/>
            <w:tcBorders>
              <w:top w:val="single" w:color="DDDDDD" w:sz="4"/>
              <w:left w:val="single" w:color="DDDDDD" w:sz="4"/>
              <w:bottom w:val="single" w:color="DDDDDD" w:sz="4"/>
              <w:right w:val="single" w:color="DDDDDD" w:sz="4"/>
            </w:tcBorders>
            <w:shd w:fill="ECFDF5" w:val="clear"/>
            <w:tcMar>
              <w:top w:type="dxa" w:w="80"/>
              <w:left w:type="dxa" w:w="60"/>
              <w:bottom w:type="dxa" w:w="80"/>
              <w:right w:type="dxa" w:w="60"/>
            </w:tcMar>
            <w:vAlign w:val="center"/>
          </w:tcPr>
          <w:p>
            <w:pPr>
              <w:jc w:val="center"/>
            </w:pPr>
            <w:r>
              <w:rPr>
                <w:rFonts w:ascii="Arial" w:cs="Arial" w:eastAsia="Arial" w:hAnsi="Arial"/>
                <w:b/>
                <w:bCs/>
                <w:color w:val="057A55"/>
                <w:sz w:val="18"/>
                <w:szCs w:val="18"/>
              </w:rPr>
              <w:t xml:space="preserve">M-03</w:t>
            </w:r>
          </w:p>
        </w:tc>
        <w:tc>
          <w:tcPr>
            <w:tcW w:type="dxa" w:w="1100"/>
            <w:tcBorders>
              <w:top w:val="single" w:color="DDDDDD" w:sz="4"/>
              <w:left w:val="single" w:color="DDDDDD" w:sz="4"/>
              <w:bottom w:val="single" w:color="DDDDDD" w:sz="4"/>
              <w:right w:val="single" w:color="DDDDDD" w:sz="4"/>
            </w:tcBorders>
            <w:shd w:fill="ECFDF5" w:val="clear"/>
            <w:tcMar>
              <w:top w:type="dxa" w:w="80"/>
              <w:left w:type="dxa" w:w="100"/>
              <w:bottom w:type="dxa" w:w="80"/>
              <w:right w:type="dxa" w:w="60"/>
            </w:tcMar>
          </w:tcPr>
          <w:p>
            <w:pPr>
              <w:jc w:val="center"/>
            </w:pPr>
            <w:r>
              <w:rPr>
                <w:rFonts w:ascii="Arial" w:cs="Arial" w:eastAsia="Arial" w:hAnsi="Arial"/>
                <w:b/>
                <w:bCs/>
                <w:color w:val="057A55"/>
                <w:sz w:val="16"/>
                <w:szCs w:val="16"/>
              </w:rPr>
              <w:t xml:space="preserve">LOW</w:t>
            </w:r>
          </w:p>
        </w:tc>
        <w:tc>
          <w:tcPr>
            <w:tcW w:type="dxa" w:w="7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11827"/>
                <w:sz w:val="22"/>
                <w:szCs w:val="22"/>
              </w:rPr>
              <w:t xml:space="preserve">No Ramadan Fasting + Diabetes Interaction Protocol</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6B7280"/>
                <w:sz w:val="18"/>
                <w:szCs w:val="18"/>
              </w:rPr>
              <w:t xml:space="preserve">Issue</w:t>
            </w:r>
          </w:p>
        </w:tc>
        <w:tc>
          <w:tcPr>
            <w:tcW w:type="dxa" w:w="7560"/>
            <w:tcBorders>
              <w:top w:val="single" w:color="DDDDDD" w:sz="4"/>
              <w:left w:val="single" w:color="DDDDDD" w:sz="4"/>
              <w:bottom w:val="single" w:color="DDDDDD" w:sz="4"/>
              <w:right w:val="single" w:color="DDDDDD" w:sz="4"/>
            </w:tcBorders>
            <w:shd w:fill="F9FAFB" w:val="clear"/>
            <w:tcMar>
              <w:top w:type="dxa" w:w="60"/>
              <w:left w:type="dxa" w:w="120"/>
              <w:bottom w:type="dxa" w:w="60"/>
              <w:right w:type="dxa" w:w="120"/>
            </w:tcMar>
          </w:tcPr>
          <w:p>
            <w:r>
              <w:rPr>
                <w:rFonts w:ascii="Arial" w:cs="Arial" w:eastAsia="Arial" w:hAnsi="Arial"/>
                <w:color w:val="111827"/>
                <w:sz w:val="20"/>
                <w:szCs w:val="20"/>
              </w:rPr>
              <w:t xml:space="preserve">Iraq has one of the highest diabetes rates in the region (~14% prevalence). During Ramadan, fasting diabetics are at high risk of both hypoglycemia (if taking insulin/sulfonylureas without adjustment) and hyperglycemia (large iftar/suhoor meals). The app currently has no Ramadan-aware medication guidance.</w:t>
            </w:r>
          </w:p>
        </w:tc>
      </w:tr>
      <w:tr>
        <w:tc>
          <w:tcPr>
            <w:vMerge w:val="continue"/>
            <w:tcBorders>
              <w:top w:val="single" w:color="DDDDDD" w:sz="4"/>
              <w:left w:val="single" w:color="DDDDDD" w:sz="4"/>
              <w:bottom w:val="single" w:color="DDDDDD" w:sz="4"/>
              <w:right w:val="single" w:color="DDDDDD" w:sz="4"/>
            </w:tcBorders>
          </w:tcPr>
          <w:p/>
        </w:tc>
        <w:tc>
          <w:tcPr>
            <w:tcW w:type="dxa" w:w="1100"/>
            <w:tcBorders>
              <w:top w:val="single" w:color="DDDDDD" w:sz="4"/>
              <w:left w:val="single" w:color="DDDDDD" w:sz="4"/>
              <w:bottom w:val="single" w:color="DDDDDD" w:sz="4"/>
              <w:right w:val="single" w:color="DDDDDD" w:sz="4"/>
            </w:tcBorders>
            <w:tcMar>
              <w:top w:type="dxa" w:w="60"/>
              <w:left w:type="dxa" w:w="100"/>
              <w:bottom w:type="dxa" w:w="60"/>
              <w:right w:type="dxa" w:w="60"/>
            </w:tcMar>
          </w:tcPr>
          <w:p>
            <w:r>
              <w:rPr>
                <w:rFonts w:ascii="Arial" w:cs="Arial" w:eastAsia="Arial" w:hAnsi="Arial"/>
                <w:b/>
                <w:bCs/>
                <w:color w:val="057A55"/>
                <w:sz w:val="18"/>
                <w:szCs w:val="18"/>
              </w:rPr>
              <w:t xml:space="preserve">Fix</w:t>
            </w:r>
          </w:p>
        </w:tc>
        <w:tc>
          <w:tcPr>
            <w:tcW w:type="dxa" w:w="756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11827"/>
                <w:sz w:val="20"/>
                <w:szCs w:val="20"/>
              </w:rPr>
              <w:t xml:space="preserve">Add a seasonal rule: if the patient mentions fasting (صيام) or Ramadan (رمضان) AND is diabetic OR is taking metformin/insulin/sulfonylureas → trigger a special warning about dose timing adjustment and blood glucose monitoring. Recommend endocrinology consultation for insulin-dependent patients.</w:t>
            </w:r>
          </w:p>
        </w:tc>
      </w:tr>
    </w:tbl>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A56DB" w:sz="4"/>
              <w:right w:val="none" w:color="FFFFFF" w:sz="0"/>
            </w:tcBorders>
            <w:shd w:fill="EFF6FF" w:val="clear"/>
            <w:tcMar>
              <w:top w:type="dxa" w:w="120"/>
              <w:left w:type="dxa" w:w="160"/>
              <w:bottom w:type="dxa" w:w="120"/>
              <w:right w:type="dxa" w:w="160"/>
            </w:tcMar>
          </w:tcPr>
          <w:p>
            <w:r>
              <w:rPr>
                <w:rFonts w:ascii="Arial" w:cs="Arial" w:eastAsia="Arial" w:hAnsi="Arial"/>
                <w:b/>
                <w:bCs/>
                <w:color w:val="1A56DB"/>
                <w:sz w:val="28"/>
                <w:szCs w:val="28"/>
              </w:rPr>
              <w:t xml:space="preserve">7. Architecture &amp; Performance Recommendations</w:t>
            </w:r>
          </w:p>
          <w:p>
            <w:r>
              <w:rPr>
                <w:rFonts w:ascii="Arial" w:cs="Arial" w:eastAsia="Arial" w:hAnsi="Arial"/>
                <w:color w:val="6B7280"/>
                <w:sz w:val="18"/>
                <w:szCs w:val="18"/>
              </w:rPr>
              <w:t xml:space="preserve">Long-term improvements for scalability</w:t>
            </w:r>
          </w:p>
        </w:tc>
      </w:tr>
    </w:tbl>
    <w:p>
      <w:pPr>
        <w:spacing w:after="0" w:before="160"/>
      </w:pPr>
      <w:r>
        <w:t xml:space="preserve"/>
      </w:r>
    </w:p>
    <w:p>
      <w:pPr>
        <w:pStyle w:val="Heading3"/>
        <w:spacing w:after="80" w:before="200"/>
      </w:pPr>
      <w:r>
        <w:rPr>
          <w:rFonts w:ascii="Arial" w:cs="Arial" w:eastAsia="Arial" w:hAnsi="Arial"/>
          <w:b/>
          <w:bCs/>
          <w:color w:val="111827"/>
          <w:sz w:val="22"/>
          <w:szCs w:val="22"/>
        </w:rPr>
        <w:t xml:space="preserve">7.1 Immediate Architecture Wins</w:t>
      </w:r>
    </w:p>
    <w:p>
      <w:pPr>
        <w:spacing w:after="0" w:before="80"/>
      </w:pPr>
      <w:r>
        <w:t xml:space="preserve"/>
      </w:r>
    </w:p>
    <w:p>
      <w:pPr>
        <w:spacing w:after="120"/>
      </w:pPr>
      <w:r>
        <w:rPr>
          <w:rFonts w:ascii="Arial" w:cs="Arial" w:eastAsia="Arial" w:hAnsi="Arial"/>
          <w:b/>
          <w:bCs/>
          <w:color w:val="111827"/>
          <w:sz w:val="22"/>
          <w:szCs w:val="22"/>
        </w:rPr>
        <w:t xml:space="preserve">These changes have the highest impact-to-effort ratio:</w:t>
      </w:r>
    </w:p>
    <w:p>
      <w:pPr>
        <w:pStyle w:val="ListParagraph"/>
        <w:numPr>
          <w:ilvl w:val="0"/>
          <w:numId w:val="2"/>
        </w:numPr>
        <w:spacing w:after="80"/>
      </w:pPr>
      <w:r>
        <w:rPr>
          <w:rFonts w:ascii="Arial" w:cs="Arial" w:eastAsia="Arial" w:hAnsi="Arial"/>
          <w:b w:val="false"/>
          <w:bCs w:val="false"/>
          <w:color w:val="111827"/>
          <w:sz w:val="20"/>
          <w:szCs w:val="20"/>
        </w:rPr>
        <w:t xml:space="preserve">Add express-rate-limit (20 req/min per user on /api/assess) — prevents API cost explosion</w:t>
      </w:r>
    </w:p>
    <w:p>
      <w:pPr>
        <w:pStyle w:val="ListParagraph"/>
        <w:numPr>
          <w:ilvl w:val="0"/>
          <w:numId w:val="2"/>
        </w:numPr>
        <w:spacing w:after="80"/>
      </w:pPr>
      <w:r>
        <w:rPr>
          <w:rFonts w:ascii="Arial" w:cs="Arial" w:eastAsia="Arial" w:hAnsi="Arial"/>
          <w:b w:val="false"/>
          <w:bCs w:val="false"/>
          <w:color w:val="111827"/>
          <w:sz w:val="20"/>
          <w:szCs w:val="20"/>
        </w:rPr>
        <w:t xml:space="preserve">Add per-user daily token budget tracking — store token count in Redis or database, reject when exceeded</w:t>
      </w:r>
    </w:p>
    <w:p>
      <w:pPr>
        <w:pStyle w:val="ListParagraph"/>
        <w:numPr>
          <w:ilvl w:val="0"/>
          <w:numId w:val="2"/>
        </w:numPr>
        <w:spacing w:after="80"/>
      </w:pPr>
      <w:r>
        <w:rPr>
          <w:rFonts w:ascii="Arial" w:cs="Arial" w:eastAsia="Arial" w:hAnsi="Arial"/>
          <w:b w:val="false"/>
          <w:bCs w:val="false"/>
          <w:color w:val="111827"/>
          <w:sz w:val="20"/>
          <w:szCs w:val="20"/>
        </w:rPr>
        <w:t xml:space="preserve">Add request body size limit (15MB cap) to express.json() middleware</w:t>
      </w:r>
    </w:p>
    <w:p>
      <w:pPr>
        <w:pStyle w:val="ListParagraph"/>
        <w:numPr>
          <w:ilvl w:val="0"/>
          <w:numId w:val="2"/>
        </w:numPr>
        <w:spacing w:after="80"/>
      </w:pPr>
      <w:r>
        <w:rPr>
          <w:rFonts w:ascii="Arial" w:cs="Arial" w:eastAsia="Arial" w:hAnsi="Arial"/>
          <w:b w:val="false"/>
          <w:bCs w:val="false"/>
          <w:color w:val="111827"/>
          <w:sz w:val="20"/>
          <w:szCs w:val="20"/>
        </w:rPr>
        <w:t xml:space="preserve">Encrypt healthProfiles sensitive fields using existing encryption infrastructure</w:t>
      </w:r>
    </w:p>
    <w:p>
      <w:pPr>
        <w:spacing w:after="0" w:before="160"/>
      </w:pPr>
      <w:r>
        <w:t xml:space="preserve"/>
      </w:r>
    </w:p>
    <w:p>
      <w:pPr>
        <w:pStyle w:val="Heading3"/>
        <w:spacing w:after="80" w:before="200"/>
      </w:pPr>
      <w:r>
        <w:rPr>
          <w:rFonts w:ascii="Arial" w:cs="Arial" w:eastAsia="Arial" w:hAnsi="Arial"/>
          <w:b/>
          <w:bCs/>
          <w:color w:val="111827"/>
          <w:sz w:val="22"/>
          <w:szCs w:val="22"/>
        </w:rPr>
        <w:t xml:space="preserve">7.2 Medium-Term Improvements</w:t>
      </w:r>
    </w:p>
    <w:p>
      <w:pPr>
        <w:spacing w:after="0" w:before="80"/>
      </w:pPr>
      <w:r>
        <w:t xml:space="preserve"/>
      </w:r>
    </w:p>
    <w:p>
      <w:pPr>
        <w:spacing w:after="120"/>
      </w:pPr>
      <w:r>
        <w:rPr>
          <w:rFonts w:ascii="Arial" w:cs="Arial" w:eastAsia="Arial" w:hAnsi="Arial"/>
          <w:b/>
          <w:bCs/>
          <w:color w:val="111827"/>
          <w:sz w:val="22"/>
          <w:szCs w:val="22"/>
        </w:rPr>
        <w:t xml:space="preserve">These changes improve reliability and user experience as the app scales:</w:t>
      </w:r>
    </w:p>
    <w:p>
      <w:pPr>
        <w:pStyle w:val="ListParagraph"/>
        <w:numPr>
          <w:ilvl w:val="0"/>
          <w:numId w:val="2"/>
        </w:numPr>
        <w:spacing w:after="80"/>
      </w:pPr>
      <w:r>
        <w:rPr>
          <w:rFonts w:ascii="Arial" w:cs="Arial" w:eastAsia="Arial" w:hAnsi="Arial"/>
          <w:b w:val="false"/>
          <w:bCs w:val="false"/>
          <w:color w:val="111827"/>
          <w:sz w:val="20"/>
          <w:szCs w:val="20"/>
        </w:rPr>
        <w:t xml:space="preserve">Implement conversation summarization after 12 messages to reduce per-request token costs by ~60%</w:t>
      </w:r>
    </w:p>
    <w:p>
      <w:pPr>
        <w:pStyle w:val="ListParagraph"/>
        <w:numPr>
          <w:ilvl w:val="0"/>
          <w:numId w:val="2"/>
        </w:numPr>
        <w:spacing w:after="80"/>
      </w:pPr>
      <w:r>
        <w:rPr>
          <w:rFonts w:ascii="Arial" w:cs="Arial" w:eastAsia="Arial" w:hAnsi="Arial"/>
          <w:b w:val="false"/>
          <w:bCs w:val="false"/>
          <w:color w:val="111827"/>
          <w:sz w:val="20"/>
          <w:szCs w:val="20"/>
        </w:rPr>
        <w:t xml:space="preserve">Add server-side assessment sync: save completed assessment summaries to healthEvents table</w:t>
      </w:r>
    </w:p>
    <w:p>
      <w:pPr>
        <w:pStyle w:val="ListParagraph"/>
        <w:numPr>
          <w:ilvl w:val="0"/>
          <w:numId w:val="2"/>
        </w:numPr>
        <w:spacing w:after="80"/>
      </w:pPr>
      <w:r>
        <w:rPr>
          <w:rFonts w:ascii="Arial" w:cs="Arial" w:eastAsia="Arial" w:hAnsi="Arial"/>
          <w:b w:val="false"/>
          <w:bCs w:val="false"/>
          <w:color w:val="111827"/>
          <w:sz w:val="20"/>
          <w:szCs w:val="20"/>
        </w:rPr>
        <w:t xml:space="preserve">Add a streaming timeout (60s AbortController) to prevent hanging connections</w:t>
      </w:r>
    </w:p>
    <w:p>
      <w:pPr>
        <w:pStyle w:val="ListParagraph"/>
        <w:numPr>
          <w:ilvl w:val="0"/>
          <w:numId w:val="2"/>
        </w:numPr>
        <w:spacing w:after="80"/>
      </w:pPr>
      <w:r>
        <w:rPr>
          <w:rFonts w:ascii="Arial" w:cs="Arial" w:eastAsia="Arial" w:hAnsi="Arial"/>
          <w:b w:val="false"/>
          <w:bCs w:val="false"/>
          <w:color w:val="111827"/>
          <w:sz w:val="20"/>
          <w:szCs w:val="20"/>
        </w:rPr>
        <w:t xml:space="preserve">Cache avicenna.buildAIContext() result per userId for 5 minutes — currently fetches DB on every request</w:t>
      </w:r>
    </w:p>
    <w:p>
      <w:pPr>
        <w:spacing w:after="0" w:before="160"/>
      </w:pPr>
      <w:r>
        <w:t xml:space="preserve"/>
      </w:r>
    </w:p>
    <w:p>
      <w:pPr>
        <w:pStyle w:val="Heading3"/>
        <w:spacing w:after="80" w:before="200"/>
      </w:pPr>
      <w:r>
        <w:rPr>
          <w:rFonts w:ascii="Arial" w:cs="Arial" w:eastAsia="Arial" w:hAnsi="Arial"/>
          <w:b/>
          <w:bCs/>
          <w:color w:val="111827"/>
          <w:sz w:val="22"/>
          <w:szCs w:val="22"/>
        </w:rPr>
        <w:t xml:space="preserve">7.3 Long-Term Considerations</w:t>
      </w:r>
    </w:p>
    <w:p>
      <w:pPr>
        <w:spacing w:after="0" w:before="80"/>
      </w:pPr>
      <w:r>
        <w:t xml:space="preserve"/>
      </w:r>
    </w:p>
    <w:p>
      <w:pPr>
        <w:spacing w:after="120"/>
      </w:pPr>
      <w:r>
        <w:rPr>
          <w:rFonts w:ascii="Arial" w:cs="Arial" w:eastAsia="Arial" w:hAnsi="Arial"/>
          <w:b/>
          <w:bCs/>
          <w:color w:val="111827"/>
          <w:sz w:val="22"/>
          <w:szCs w:val="22"/>
        </w:rPr>
        <w:t xml:space="preserve">For future growth beyond Replit:</w:t>
      </w:r>
    </w:p>
    <w:p>
      <w:pPr>
        <w:pStyle w:val="ListParagraph"/>
        <w:numPr>
          <w:ilvl w:val="0"/>
          <w:numId w:val="2"/>
        </w:numPr>
        <w:spacing w:after="80"/>
      </w:pPr>
      <w:r>
        <w:rPr>
          <w:rFonts w:ascii="Arial" w:cs="Arial" w:eastAsia="Arial" w:hAnsi="Arial"/>
          <w:b w:val="false"/>
          <w:bCs w:val="false"/>
          <w:color w:val="111827"/>
          <w:sz w:val="20"/>
          <w:szCs w:val="20"/>
        </w:rPr>
        <w:t xml:space="preserve">Consider upgrading ENCRYPTION_KEY derivation from SHA-256 to scrypt or PBKDF2</w:t>
      </w:r>
    </w:p>
    <w:p>
      <w:pPr>
        <w:pStyle w:val="ListParagraph"/>
        <w:numPr>
          <w:ilvl w:val="0"/>
          <w:numId w:val="2"/>
        </w:numPr>
        <w:spacing w:after="80"/>
      </w:pPr>
      <w:r>
        <w:rPr>
          <w:rFonts w:ascii="Arial" w:cs="Arial" w:eastAsia="Arial" w:hAnsi="Arial"/>
          <w:b w:val="false"/>
          <w:bCs w:val="false"/>
          <w:color w:val="111827"/>
          <w:sz w:val="20"/>
          <w:szCs w:val="20"/>
        </w:rPr>
        <w:t xml:space="preserve">Add key rotation support to the encryption module — critical for HIPAA compliance if expanding internationally</w:t>
      </w:r>
    </w:p>
    <w:p>
      <w:pPr>
        <w:pStyle w:val="ListParagraph"/>
        <w:numPr>
          <w:ilvl w:val="0"/>
          <w:numId w:val="2"/>
        </w:numPr>
        <w:spacing w:after="80"/>
      </w:pPr>
      <w:r>
        <w:rPr>
          <w:rFonts w:ascii="Arial" w:cs="Arial" w:eastAsia="Arial" w:hAnsi="Arial"/>
          <w:b w:val="false"/>
          <w:bCs w:val="false"/>
          <w:color w:val="111827"/>
          <w:sz w:val="20"/>
          <w:szCs w:val="20"/>
        </w:rPr>
        <w:t xml:space="preserve">Implement proper CORS configuration with allowlist of trusted origins</w:t>
      </w:r>
    </w:p>
    <w:p>
      <w:pPr>
        <w:pStyle w:val="ListParagraph"/>
        <w:numPr>
          <w:ilvl w:val="0"/>
          <w:numId w:val="2"/>
        </w:numPr>
        <w:spacing w:after="80"/>
      </w:pPr>
      <w:r>
        <w:rPr>
          <w:rFonts w:ascii="Arial" w:cs="Arial" w:eastAsia="Arial" w:hAnsi="Arial"/>
          <w:b w:val="false"/>
          <w:bCs w:val="false"/>
          <w:color w:val="111827"/>
          <w:sz w:val="20"/>
          <w:szCs w:val="20"/>
        </w:rPr>
        <w:t xml:space="preserve">Add a Content-Security-Policy header for the web build</w:t>
      </w:r>
    </w:p>
    <w:p>
      <w:pPr>
        <w:pStyle w:val="ListParagraph"/>
        <w:numPr>
          <w:ilvl w:val="0"/>
          <w:numId w:val="2"/>
        </w:numPr>
        <w:spacing w:after="80"/>
      </w:pPr>
      <w:r>
        <w:rPr>
          <w:rFonts w:ascii="Arial" w:cs="Arial" w:eastAsia="Arial" w:hAnsi="Arial"/>
          <w:b w:val="false"/>
          <w:bCs w:val="false"/>
          <w:color w:val="111827"/>
          <w:sz w:val="20"/>
          <w:szCs w:val="20"/>
        </w:rPr>
        <w:t xml:space="preserve">Consider Redis for rate limiting state if running multiple instances</w:t>
      </w:r>
    </w:p>
    <w:p>
      <w:pPr>
        <w:pStyle w:val="ListParagraph"/>
        <w:numPr>
          <w:ilvl w:val="0"/>
          <w:numId w:val="2"/>
        </w:numPr>
        <w:spacing w:after="80"/>
      </w:pPr>
      <w:r>
        <w:rPr>
          <w:rFonts w:ascii="Arial" w:cs="Arial" w:eastAsia="Arial" w:hAnsi="Arial"/>
          <w:b w:val="false"/>
          <w:bCs w:val="false"/>
          <w:color w:val="111827"/>
          <w:sz w:val="20"/>
          <w:szCs w:val="20"/>
        </w:rPr>
        <w:t xml:space="preserve">Add model escalation: use Gemini 2.5 Pro for complex cases (chest pain, neurological, multi-system) instead of Flash</w:t>
      </w:r>
    </w:p>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A56DB" w:sz="4"/>
              <w:right w:val="none" w:color="FFFFFF" w:sz="0"/>
            </w:tcBorders>
            <w:shd w:fill="EFF6FF" w:val="clear"/>
            <w:tcMar>
              <w:top w:type="dxa" w:w="120"/>
              <w:left w:type="dxa" w:w="160"/>
              <w:bottom w:type="dxa" w:w="120"/>
              <w:right w:type="dxa" w:w="160"/>
            </w:tcMar>
          </w:tcPr>
          <w:p>
            <w:r>
              <w:rPr>
                <w:rFonts w:ascii="Arial" w:cs="Arial" w:eastAsia="Arial" w:hAnsi="Arial"/>
                <w:b/>
                <w:bCs/>
                <w:color w:val="1A56DB"/>
                <w:sz w:val="28"/>
                <w:szCs w:val="28"/>
              </w:rPr>
              <w:t xml:space="preserve">8. Prioritized Fix Roadmap</w:t>
            </w:r>
          </w:p>
          <w:p>
            <w:r>
              <w:rPr>
                <w:rFonts w:ascii="Arial" w:cs="Arial" w:eastAsia="Arial" w:hAnsi="Arial"/>
                <w:color w:val="6B7280"/>
                <w:sz w:val="18"/>
                <w:szCs w:val="18"/>
              </w:rPr>
              <w:t xml:space="preserve">Recommended implementation order</w:t>
            </w:r>
          </w:p>
        </w:tc>
      </w:tr>
    </w:tbl>
    <w:p>
      <w:pPr>
        <w:spacing w:after="0" w:before="160"/>
      </w:pPr>
      <w:r>
        <w:t xml:space="preserve"/>
      </w:r>
    </w:p>
    <w:p>
      <w:pPr>
        <w:pStyle w:val="Heading3"/>
        <w:spacing w:after="80" w:before="200"/>
      </w:pPr>
      <w:r>
        <w:rPr>
          <w:rFonts w:ascii="Arial" w:cs="Arial" w:eastAsia="Arial" w:hAnsi="Arial"/>
          <w:b/>
          <w:bCs/>
          <w:color w:val="111827"/>
          <w:sz w:val="22"/>
          <w:szCs w:val="22"/>
        </w:rPr>
        <w:t xml:space="preserve">Week 1 — Critical (Before Any Public Users)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560"/>
        <w:gridCol w:w="2000"/>
      </w:tblGrid>
      <w:tr>
        <w:tc>
          <w:tcPr>
            <w:tcW w:type="dxa" w:w="400"/>
            <w:tcBorders>
              <w:top w:val="single" w:color="E02424" w:sz="4"/>
              <w:left w:val="single" w:color="E02424" w:sz="4"/>
              <w:bottom w:val="single" w:color="E02424" w:sz="4"/>
              <w:right w:val="single" w:color="E02424" w:sz="4"/>
            </w:tcBorders>
            <w:shd w:fill="E0242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2400"/>
            <w:tcBorders>
              <w:top w:val="single" w:color="E02424" w:sz="4"/>
              <w:left w:val="single" w:color="E02424" w:sz="4"/>
              <w:bottom w:val="single" w:color="E02424" w:sz="4"/>
              <w:right w:val="single" w:color="E02424" w:sz="4"/>
            </w:tcBorders>
            <w:shd w:fill="E0242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Issue</w:t>
            </w:r>
          </w:p>
        </w:tc>
        <w:tc>
          <w:tcPr>
            <w:tcW w:type="dxa" w:w="4560"/>
            <w:tcBorders>
              <w:top w:val="single" w:color="E02424" w:sz="4"/>
              <w:left w:val="single" w:color="E02424" w:sz="4"/>
              <w:bottom w:val="single" w:color="E02424" w:sz="4"/>
              <w:right w:val="single" w:color="E02424" w:sz="4"/>
            </w:tcBorders>
            <w:shd w:fill="E0242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File</w:t>
            </w:r>
          </w:p>
        </w:tc>
        <w:tc>
          <w:tcPr>
            <w:tcW w:type="dxa" w:w="2000"/>
            <w:tcBorders>
              <w:top w:val="single" w:color="E02424" w:sz="4"/>
              <w:left w:val="single" w:color="E02424" w:sz="4"/>
              <w:bottom w:val="single" w:color="E02424" w:sz="4"/>
              <w:right w:val="single" w:color="E02424" w:sz="4"/>
            </w:tcBorders>
            <w:shd w:fill="E0242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Effort</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center"/>
            </w:pPr>
            <w:r>
              <w:rPr>
                <w:rFonts w:ascii="Arial" w:cs="Arial" w:eastAsia="Arial" w:hAnsi="Arial"/>
                <w:color w:val="111827"/>
                <w:sz w:val="19"/>
                <w:szCs w:val="19"/>
              </w:rPr>
              <w:t xml:space="preserve">1</w:t>
            </w:r>
          </w:p>
        </w:tc>
        <w:tc>
          <w:tcPr>
            <w:tcW w:type="dxa" w:w="2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color w:val="111827"/>
                <w:sz w:val="19"/>
                <w:szCs w:val="19"/>
              </w:rPr>
              <w:t xml:space="preserve">S-01 — Add rate limiting</w:t>
            </w:r>
          </w:p>
        </w:tc>
        <w:tc>
          <w:tcPr>
            <w:tcW w:type="dxa" w:w="45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color w:val="111827"/>
                <w:sz w:val="19"/>
                <w:szCs w:val="19"/>
              </w:rPr>
              <w:t xml:space="preserve">server/index.ts + routes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color w:val="111827"/>
                <w:sz w:val="19"/>
                <w:szCs w:val="19"/>
              </w:rPr>
              <w:t xml:space="preserve">2 hours</w:t>
            </w:r>
          </w:p>
        </w:tc>
      </w:tr>
      <w:tr>
        <w:tc>
          <w:tcPr>
            <w:tcW w:type="dxa" w:w="400"/>
            <w:tcBorders>
              <w:top w:val="single" w:color="DDDDDD" w:sz="4"/>
              <w:left w:val="single" w:color="DDDDDD" w:sz="4"/>
              <w:bottom w:val="single" w:color="DDDDDD" w:sz="4"/>
              <w:right w:val="single" w:color="DDDDDD" w:sz="4"/>
            </w:tcBorders>
            <w:shd w:fill="FEF2F2" w:val="clear"/>
            <w:tcMar>
              <w:top w:type="dxa" w:w="80"/>
              <w:left w:type="dxa" w:w="100"/>
              <w:bottom w:type="dxa" w:w="80"/>
              <w:right w:type="dxa" w:w="100"/>
            </w:tcMar>
          </w:tcPr>
          <w:p>
            <w:pPr>
              <w:jc w:val="center"/>
            </w:pPr>
            <w:r>
              <w:rPr>
                <w:rFonts w:ascii="Arial" w:cs="Arial" w:eastAsia="Arial" w:hAnsi="Arial"/>
                <w:color w:val="111827"/>
                <w:sz w:val="19"/>
                <w:szCs w:val="19"/>
              </w:rPr>
              <w:t xml:space="preserve">2</w:t>
            </w:r>
          </w:p>
        </w:tc>
        <w:tc>
          <w:tcPr>
            <w:tcW w:type="dxa" w:w="2400"/>
            <w:tcBorders>
              <w:top w:val="single" w:color="DDDDDD" w:sz="4"/>
              <w:left w:val="single" w:color="DDDDDD" w:sz="4"/>
              <w:bottom w:val="single" w:color="DDDDDD" w:sz="4"/>
              <w:right w:val="single" w:color="DDDDDD" w:sz="4"/>
            </w:tcBorders>
            <w:shd w:fill="FEF2F2" w:val="clear"/>
            <w:tcMar>
              <w:top w:type="dxa" w:w="80"/>
              <w:left w:type="dxa" w:w="100"/>
              <w:bottom w:type="dxa" w:w="80"/>
              <w:right w:type="dxa" w:w="100"/>
            </w:tcMar>
          </w:tcPr>
          <w:p>
            <w:pPr>
              <w:jc w:val="left"/>
            </w:pPr>
            <w:r>
              <w:rPr>
                <w:rFonts w:ascii="Arial" w:cs="Arial" w:eastAsia="Arial" w:hAnsi="Arial"/>
                <w:color w:val="111827"/>
                <w:sz w:val="19"/>
                <w:szCs w:val="19"/>
              </w:rPr>
              <w:t xml:space="preserve">S-02 — Cap image data size</w:t>
            </w:r>
          </w:p>
        </w:tc>
        <w:tc>
          <w:tcPr>
            <w:tcW w:type="dxa" w:w="4560"/>
            <w:tcBorders>
              <w:top w:val="single" w:color="DDDDDD" w:sz="4"/>
              <w:left w:val="single" w:color="DDDDDD" w:sz="4"/>
              <w:bottom w:val="single" w:color="DDDDDD" w:sz="4"/>
              <w:right w:val="single" w:color="DDDDDD" w:sz="4"/>
            </w:tcBorders>
            <w:shd w:fill="FEF2F2" w:val="clear"/>
            <w:tcMar>
              <w:top w:type="dxa" w:w="80"/>
              <w:left w:type="dxa" w:w="100"/>
              <w:bottom w:type="dxa" w:w="80"/>
              <w:right w:type="dxa" w:w="100"/>
            </w:tcMar>
          </w:tcPr>
          <w:p>
            <w:pPr>
              <w:jc w:val="left"/>
            </w:pPr>
            <w:r>
              <w:rPr>
                <w:rFonts w:ascii="Arial" w:cs="Arial" w:eastAsia="Arial" w:hAnsi="Arial"/>
                <w:color w:val="111827"/>
                <w:sz w:val="19"/>
                <w:szCs w:val="19"/>
              </w:rPr>
              <w:t xml:space="preserve">server/routes/ai.ts</w:t>
            </w:r>
          </w:p>
        </w:tc>
        <w:tc>
          <w:tcPr>
            <w:tcW w:type="dxa" w:w="2000"/>
            <w:tcBorders>
              <w:top w:val="single" w:color="DDDDDD" w:sz="4"/>
              <w:left w:val="single" w:color="DDDDDD" w:sz="4"/>
              <w:bottom w:val="single" w:color="DDDDDD" w:sz="4"/>
              <w:right w:val="single" w:color="DDDDDD" w:sz="4"/>
            </w:tcBorders>
            <w:shd w:fill="FEF2F2" w:val="clear"/>
            <w:tcMar>
              <w:top w:type="dxa" w:w="80"/>
              <w:left w:type="dxa" w:w="100"/>
              <w:bottom w:type="dxa" w:w="80"/>
              <w:right w:type="dxa" w:w="100"/>
            </w:tcMar>
          </w:tcPr>
          <w:p>
            <w:pPr>
              <w:jc w:val="left"/>
            </w:pPr>
            <w:r>
              <w:rPr>
                <w:rFonts w:ascii="Arial" w:cs="Arial" w:eastAsia="Arial" w:hAnsi="Arial"/>
                <w:color w:val="111827"/>
                <w:sz w:val="19"/>
                <w:szCs w:val="19"/>
              </w:rPr>
              <w:t xml:space="preserve">30 min</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center"/>
            </w:pPr>
            <w:r>
              <w:rPr>
                <w:rFonts w:ascii="Arial" w:cs="Arial" w:eastAsia="Arial" w:hAnsi="Arial"/>
                <w:color w:val="111827"/>
                <w:sz w:val="19"/>
                <w:szCs w:val="19"/>
              </w:rPr>
              <w:t xml:space="preserve">3</w:t>
            </w:r>
          </w:p>
        </w:tc>
        <w:tc>
          <w:tcPr>
            <w:tcW w:type="dxa" w:w="2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color w:val="111827"/>
                <w:sz w:val="19"/>
                <w:szCs w:val="19"/>
              </w:rPr>
              <w:t xml:space="preserve">B-02 — Fix severity fallback</w:t>
            </w:r>
          </w:p>
        </w:tc>
        <w:tc>
          <w:tcPr>
            <w:tcW w:type="dxa" w:w="45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color w:val="111827"/>
                <w:sz w:val="19"/>
                <w:szCs w:val="19"/>
              </w:rPr>
              <w:t xml:space="preserve">components/RecommendationCard.tsx</w:t>
            </w:r>
          </w:p>
        </w:tc>
        <w:tc>
          <w:tcPr>
            <w:tcW w:type="dxa" w:w="20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color w:val="111827"/>
                <w:sz w:val="19"/>
                <w:szCs w:val="19"/>
              </w:rPr>
              <w:t xml:space="preserve">1 hour</w:t>
            </w:r>
          </w:p>
        </w:tc>
      </w:tr>
      <w:tr>
        <w:tc>
          <w:tcPr>
            <w:tcW w:type="dxa" w:w="400"/>
            <w:tcBorders>
              <w:top w:val="single" w:color="DDDDDD" w:sz="4"/>
              <w:left w:val="single" w:color="DDDDDD" w:sz="4"/>
              <w:bottom w:val="single" w:color="DDDDDD" w:sz="4"/>
              <w:right w:val="single" w:color="DDDDDD" w:sz="4"/>
            </w:tcBorders>
            <w:shd w:fill="FEF2F2" w:val="clear"/>
            <w:tcMar>
              <w:top w:type="dxa" w:w="80"/>
              <w:left w:type="dxa" w:w="100"/>
              <w:bottom w:type="dxa" w:w="80"/>
              <w:right w:type="dxa" w:w="100"/>
            </w:tcMar>
          </w:tcPr>
          <w:p>
            <w:pPr>
              <w:jc w:val="center"/>
            </w:pPr>
            <w:r>
              <w:rPr>
                <w:rFonts w:ascii="Arial" w:cs="Arial" w:eastAsia="Arial" w:hAnsi="Arial"/>
                <w:color w:val="111827"/>
                <w:sz w:val="19"/>
                <w:szCs w:val="19"/>
              </w:rPr>
              <w:t xml:space="preserve">4</w:t>
            </w:r>
          </w:p>
        </w:tc>
        <w:tc>
          <w:tcPr>
            <w:tcW w:type="dxa" w:w="2400"/>
            <w:tcBorders>
              <w:top w:val="single" w:color="DDDDDD" w:sz="4"/>
              <w:left w:val="single" w:color="DDDDDD" w:sz="4"/>
              <w:bottom w:val="single" w:color="DDDDDD" w:sz="4"/>
              <w:right w:val="single" w:color="DDDDDD" w:sz="4"/>
            </w:tcBorders>
            <w:shd w:fill="FEF2F2" w:val="clear"/>
            <w:tcMar>
              <w:top w:type="dxa" w:w="80"/>
              <w:left w:type="dxa" w:w="100"/>
              <w:bottom w:type="dxa" w:w="80"/>
              <w:right w:type="dxa" w:w="100"/>
            </w:tcMar>
          </w:tcPr>
          <w:p>
            <w:pPr>
              <w:jc w:val="left"/>
            </w:pPr>
            <w:r>
              <w:rPr>
                <w:rFonts w:ascii="Arial" w:cs="Arial" w:eastAsia="Arial" w:hAnsi="Arial"/>
                <w:color w:val="111827"/>
                <w:sz w:val="19"/>
                <w:szCs w:val="19"/>
              </w:rPr>
              <w:t xml:space="preserve">B-01 — Fix empty card</w:t>
            </w:r>
          </w:p>
        </w:tc>
        <w:tc>
          <w:tcPr>
            <w:tcW w:type="dxa" w:w="4560"/>
            <w:tcBorders>
              <w:top w:val="single" w:color="DDDDDD" w:sz="4"/>
              <w:left w:val="single" w:color="DDDDDD" w:sz="4"/>
              <w:bottom w:val="single" w:color="DDDDDD" w:sz="4"/>
              <w:right w:val="single" w:color="DDDDDD" w:sz="4"/>
            </w:tcBorders>
            <w:shd w:fill="FEF2F2" w:val="clear"/>
            <w:tcMar>
              <w:top w:type="dxa" w:w="80"/>
              <w:left w:type="dxa" w:w="100"/>
              <w:bottom w:type="dxa" w:w="80"/>
              <w:right w:type="dxa" w:w="100"/>
            </w:tcMar>
          </w:tcPr>
          <w:p>
            <w:pPr>
              <w:jc w:val="left"/>
            </w:pPr>
            <w:r>
              <w:rPr>
                <w:rFonts w:ascii="Arial" w:cs="Arial" w:eastAsia="Arial" w:hAnsi="Arial"/>
                <w:color w:val="111827"/>
                <w:sz w:val="19"/>
                <w:szCs w:val="19"/>
              </w:rPr>
              <w:t xml:space="preserve">components/RecommendationCard.tsx</w:t>
            </w:r>
          </w:p>
        </w:tc>
        <w:tc>
          <w:tcPr>
            <w:tcW w:type="dxa" w:w="2000"/>
            <w:tcBorders>
              <w:top w:val="single" w:color="DDDDDD" w:sz="4"/>
              <w:left w:val="single" w:color="DDDDDD" w:sz="4"/>
              <w:bottom w:val="single" w:color="DDDDDD" w:sz="4"/>
              <w:right w:val="single" w:color="DDDDDD" w:sz="4"/>
            </w:tcBorders>
            <w:shd w:fill="FEF2F2" w:val="clear"/>
            <w:tcMar>
              <w:top w:type="dxa" w:w="80"/>
              <w:left w:type="dxa" w:w="100"/>
              <w:bottom w:type="dxa" w:w="80"/>
              <w:right w:type="dxa" w:w="100"/>
            </w:tcMar>
          </w:tcPr>
          <w:p>
            <w:pPr>
              <w:jc w:val="left"/>
            </w:pPr>
            <w:r>
              <w:rPr>
                <w:rFonts w:ascii="Arial" w:cs="Arial" w:eastAsia="Arial" w:hAnsi="Arial"/>
                <w:color w:val="111827"/>
                <w:sz w:val="19"/>
                <w:szCs w:val="19"/>
              </w:rPr>
              <w:t xml:space="preserve">2 hours</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center"/>
            </w:pPr>
            <w:r>
              <w:rPr>
                <w:rFonts w:ascii="Arial" w:cs="Arial" w:eastAsia="Arial" w:hAnsi="Arial"/>
                <w:color w:val="111827"/>
                <w:sz w:val="19"/>
                <w:szCs w:val="19"/>
              </w:rPr>
              <w:t xml:space="preserve">5</w:t>
            </w:r>
          </w:p>
        </w:tc>
        <w:tc>
          <w:tcPr>
            <w:tcW w:type="dxa" w:w="2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color w:val="111827"/>
                <w:sz w:val="19"/>
                <w:szCs w:val="19"/>
              </w:rPr>
              <w:t xml:space="preserve">AU-01 — Remove phone auth bypass</w:t>
            </w:r>
          </w:p>
        </w:tc>
        <w:tc>
          <w:tcPr>
            <w:tcW w:type="dxa" w:w="45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color w:val="111827"/>
                <w:sz w:val="19"/>
                <w:szCs w:val="19"/>
              </w:rPr>
              <w:t xml:space="preserve">contexts/AuthContext.tsx</w:t>
            </w:r>
          </w:p>
        </w:tc>
        <w:tc>
          <w:tcPr>
            <w:tcW w:type="dxa" w:w="20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color w:val="111827"/>
                <w:sz w:val="19"/>
                <w:szCs w:val="19"/>
              </w:rPr>
              <w:t xml:space="preserve">15 min</w:t>
            </w:r>
          </w:p>
        </w:tc>
      </w:tr>
    </w:tbl>
    <w:p>
      <w:pPr>
        <w:spacing w:after="0" w:before="200"/>
      </w:pPr>
      <w:r>
        <w:t xml:space="preserve"/>
      </w:r>
    </w:p>
    <w:p>
      <w:pPr>
        <w:pStyle w:val="Heading3"/>
        <w:spacing w:after="80" w:before="200"/>
      </w:pPr>
      <w:r>
        <w:rPr>
          <w:rFonts w:ascii="Arial" w:cs="Arial" w:eastAsia="Arial" w:hAnsi="Arial"/>
          <w:b/>
          <w:bCs/>
          <w:color w:val="111827"/>
          <w:sz w:val="22"/>
          <w:szCs w:val="22"/>
        </w:rPr>
        <w:t xml:space="preserve">Week 2 — High Priority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560"/>
        <w:gridCol w:w="2000"/>
      </w:tblGrid>
      <w:tr>
        <w:tc>
          <w:tcPr>
            <w:tcW w:type="dxa" w:w="400"/>
            <w:tcBorders>
              <w:top w:val="single" w:color="D97706" w:sz="4"/>
              <w:left w:val="single" w:color="D97706" w:sz="4"/>
              <w:bottom w:val="single" w:color="D97706" w:sz="4"/>
              <w:right w:val="single" w:color="D97706" w:sz="4"/>
            </w:tcBorders>
            <w:shd w:fill="D9770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2400"/>
            <w:tcBorders>
              <w:top w:val="single" w:color="D97706" w:sz="4"/>
              <w:left w:val="single" w:color="D97706" w:sz="4"/>
              <w:bottom w:val="single" w:color="D97706" w:sz="4"/>
              <w:right w:val="single" w:color="D97706" w:sz="4"/>
            </w:tcBorders>
            <w:shd w:fill="D9770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Issue</w:t>
            </w:r>
          </w:p>
        </w:tc>
        <w:tc>
          <w:tcPr>
            <w:tcW w:type="dxa" w:w="4560"/>
            <w:tcBorders>
              <w:top w:val="single" w:color="D97706" w:sz="4"/>
              <w:left w:val="single" w:color="D97706" w:sz="4"/>
              <w:bottom w:val="single" w:color="D97706" w:sz="4"/>
              <w:right w:val="single" w:color="D97706" w:sz="4"/>
            </w:tcBorders>
            <w:shd w:fill="D9770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File</w:t>
            </w:r>
          </w:p>
        </w:tc>
        <w:tc>
          <w:tcPr>
            <w:tcW w:type="dxa" w:w="2000"/>
            <w:tcBorders>
              <w:top w:val="single" w:color="D97706" w:sz="4"/>
              <w:left w:val="single" w:color="D97706" w:sz="4"/>
              <w:bottom w:val="single" w:color="D97706" w:sz="4"/>
              <w:right w:val="single" w:color="D97706" w:sz="4"/>
            </w:tcBorders>
            <w:shd w:fill="D9770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Effort</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center"/>
            </w:pPr>
            <w:r>
              <w:rPr>
                <w:rFonts w:ascii="Arial" w:cs="Arial" w:eastAsia="Arial" w:hAnsi="Arial"/>
                <w:color w:val="111827"/>
                <w:sz w:val="19"/>
                <w:szCs w:val="19"/>
              </w:rPr>
              <w:t xml:space="preserve">6</w:t>
            </w:r>
          </w:p>
        </w:tc>
        <w:tc>
          <w:tcPr>
            <w:tcW w:type="dxa" w:w="2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color w:val="111827"/>
                <w:sz w:val="19"/>
                <w:szCs w:val="19"/>
              </w:rPr>
              <w:t xml:space="preserve">S-03 — Encrypt healthProfiles</w:t>
            </w:r>
          </w:p>
        </w:tc>
        <w:tc>
          <w:tcPr>
            <w:tcW w:type="dxa" w:w="45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color w:val="111827"/>
                <w:sz w:val="19"/>
                <w:szCs w:val="19"/>
              </w:rPr>
              <w:t xml:space="preserve">server/storage.ts + schema.ts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color w:val="111827"/>
                <w:sz w:val="19"/>
                <w:szCs w:val="19"/>
              </w:rPr>
              <w:t xml:space="preserve">4 hours</w:t>
            </w:r>
          </w:p>
        </w:tc>
      </w:tr>
      <w:tr>
        <w:tc>
          <w:tcPr>
            <w:tcW w:type="dxa" w:w="400"/>
            <w:tcBorders>
              <w:top w:val="single" w:color="DDDDDD" w:sz="4"/>
              <w:left w:val="single" w:color="DDDDDD" w:sz="4"/>
              <w:bottom w:val="single" w:color="DDDDDD" w:sz="4"/>
              <w:right w:val="single" w:color="DDDDDD" w:sz="4"/>
            </w:tcBorders>
            <w:shd w:fill="FFFBEB" w:val="clear"/>
            <w:tcMar>
              <w:top w:type="dxa" w:w="80"/>
              <w:left w:type="dxa" w:w="100"/>
              <w:bottom w:type="dxa" w:w="80"/>
              <w:right w:type="dxa" w:w="100"/>
            </w:tcMar>
          </w:tcPr>
          <w:p>
            <w:pPr>
              <w:jc w:val="center"/>
            </w:pPr>
            <w:r>
              <w:rPr>
                <w:rFonts w:ascii="Arial" w:cs="Arial" w:eastAsia="Arial" w:hAnsi="Arial"/>
                <w:color w:val="111827"/>
                <w:sz w:val="19"/>
                <w:szCs w:val="19"/>
              </w:rPr>
              <w:t xml:space="preserve">7</w:t>
            </w:r>
          </w:p>
        </w:tc>
        <w:tc>
          <w:tcPr>
            <w:tcW w:type="dxa" w:w="2400"/>
            <w:tcBorders>
              <w:top w:val="single" w:color="DDDDDD" w:sz="4"/>
              <w:left w:val="single" w:color="DDDDDD" w:sz="4"/>
              <w:bottom w:val="single" w:color="DDDDDD" w:sz="4"/>
              <w:right w:val="single" w:color="DDDDDD" w:sz="4"/>
            </w:tcBorders>
            <w:shd w:fill="FFFBEB" w:val="clear"/>
            <w:tcMar>
              <w:top w:type="dxa" w:w="80"/>
              <w:left w:type="dxa" w:w="100"/>
              <w:bottom w:type="dxa" w:w="80"/>
              <w:right w:type="dxa" w:w="100"/>
            </w:tcMar>
          </w:tcPr>
          <w:p>
            <w:pPr>
              <w:jc w:val="left"/>
            </w:pPr>
            <w:r>
              <w:rPr>
                <w:rFonts w:ascii="Arial" w:cs="Arial" w:eastAsia="Arial" w:hAnsi="Arial"/>
                <w:color w:val="111827"/>
                <w:sz w:val="19"/>
                <w:szCs w:val="19"/>
              </w:rPr>
              <w:t xml:space="preserve">A-01 — Fix quickReplies regex</w:t>
            </w:r>
          </w:p>
        </w:tc>
        <w:tc>
          <w:tcPr>
            <w:tcW w:type="dxa" w:w="4560"/>
            <w:tcBorders>
              <w:top w:val="single" w:color="DDDDDD" w:sz="4"/>
              <w:left w:val="single" w:color="DDDDDD" w:sz="4"/>
              <w:bottom w:val="single" w:color="DDDDDD" w:sz="4"/>
              <w:right w:val="single" w:color="DDDDDD" w:sz="4"/>
            </w:tcBorders>
            <w:shd w:fill="FFFBEB" w:val="clear"/>
            <w:tcMar>
              <w:top w:type="dxa" w:w="80"/>
              <w:left w:type="dxa" w:w="100"/>
              <w:bottom w:type="dxa" w:w="80"/>
              <w:right w:type="dxa" w:w="100"/>
            </w:tcMar>
          </w:tcPr>
          <w:p>
            <w:pPr>
              <w:jc w:val="left"/>
            </w:pPr>
            <w:r>
              <w:rPr>
                <w:rFonts w:ascii="Arial" w:cs="Arial" w:eastAsia="Arial" w:hAnsi="Arial"/>
                <w:color w:val="111827"/>
                <w:sz w:val="19"/>
                <w:szCs w:val="19"/>
              </w:rPr>
              <w:t xml:space="preserve">app/assessment.tsx</w:t>
            </w:r>
          </w:p>
        </w:tc>
        <w:tc>
          <w:tcPr>
            <w:tcW w:type="dxa" w:w="2000"/>
            <w:tcBorders>
              <w:top w:val="single" w:color="DDDDDD" w:sz="4"/>
              <w:left w:val="single" w:color="DDDDDD" w:sz="4"/>
              <w:bottom w:val="single" w:color="DDDDDD" w:sz="4"/>
              <w:right w:val="single" w:color="DDDDDD" w:sz="4"/>
            </w:tcBorders>
            <w:shd w:fill="FFFBEB" w:val="clear"/>
            <w:tcMar>
              <w:top w:type="dxa" w:w="80"/>
              <w:left w:type="dxa" w:w="100"/>
              <w:bottom w:type="dxa" w:w="80"/>
              <w:right w:type="dxa" w:w="100"/>
            </w:tcMar>
          </w:tcPr>
          <w:p>
            <w:pPr>
              <w:jc w:val="left"/>
            </w:pPr>
            <w:r>
              <w:rPr>
                <w:rFonts w:ascii="Arial" w:cs="Arial" w:eastAsia="Arial" w:hAnsi="Arial"/>
                <w:color w:val="111827"/>
                <w:sz w:val="19"/>
                <w:szCs w:val="19"/>
              </w:rPr>
              <w:t xml:space="preserve">30 min</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center"/>
            </w:pPr>
            <w:r>
              <w:rPr>
                <w:rFonts w:ascii="Arial" w:cs="Arial" w:eastAsia="Arial" w:hAnsi="Arial"/>
                <w:color w:val="111827"/>
                <w:sz w:val="19"/>
                <w:szCs w:val="19"/>
              </w:rPr>
              <w:t xml:space="preserve">8</w:t>
            </w:r>
          </w:p>
        </w:tc>
        <w:tc>
          <w:tcPr>
            <w:tcW w:type="dxa" w:w="2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color w:val="111827"/>
                <w:sz w:val="19"/>
                <w:szCs w:val="19"/>
              </w:rPr>
              <w:t xml:space="preserve">A-04 — Normalize Arabic JSON values</w:t>
            </w:r>
          </w:p>
        </w:tc>
        <w:tc>
          <w:tcPr>
            <w:tcW w:type="dxa" w:w="45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color w:val="111827"/>
                <w:sz w:val="19"/>
                <w:szCs w:val="19"/>
              </w:rPr>
              <w:t xml:space="preserve">app/assessment.tsx</w:t>
            </w:r>
          </w:p>
        </w:tc>
        <w:tc>
          <w:tcPr>
            <w:tcW w:type="dxa" w:w="20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color w:val="111827"/>
                <w:sz w:val="19"/>
                <w:szCs w:val="19"/>
              </w:rPr>
              <w:t xml:space="preserve">1 hour</w:t>
            </w:r>
          </w:p>
        </w:tc>
      </w:tr>
      <w:tr>
        <w:tc>
          <w:tcPr>
            <w:tcW w:type="dxa" w:w="400"/>
            <w:tcBorders>
              <w:top w:val="single" w:color="DDDDDD" w:sz="4"/>
              <w:left w:val="single" w:color="DDDDDD" w:sz="4"/>
              <w:bottom w:val="single" w:color="DDDDDD" w:sz="4"/>
              <w:right w:val="single" w:color="DDDDDD" w:sz="4"/>
            </w:tcBorders>
            <w:shd w:fill="FFFBEB" w:val="clear"/>
            <w:tcMar>
              <w:top w:type="dxa" w:w="80"/>
              <w:left w:type="dxa" w:w="100"/>
              <w:bottom w:type="dxa" w:w="80"/>
              <w:right w:type="dxa" w:w="100"/>
            </w:tcMar>
          </w:tcPr>
          <w:p>
            <w:pPr>
              <w:jc w:val="center"/>
            </w:pPr>
            <w:r>
              <w:rPr>
                <w:rFonts w:ascii="Arial" w:cs="Arial" w:eastAsia="Arial" w:hAnsi="Arial"/>
                <w:color w:val="111827"/>
                <w:sz w:val="19"/>
                <w:szCs w:val="19"/>
              </w:rPr>
              <w:t xml:space="preserve">9</w:t>
            </w:r>
          </w:p>
        </w:tc>
        <w:tc>
          <w:tcPr>
            <w:tcW w:type="dxa" w:w="2400"/>
            <w:tcBorders>
              <w:top w:val="single" w:color="DDDDDD" w:sz="4"/>
              <w:left w:val="single" w:color="DDDDDD" w:sz="4"/>
              <w:bottom w:val="single" w:color="DDDDDD" w:sz="4"/>
              <w:right w:val="single" w:color="DDDDDD" w:sz="4"/>
            </w:tcBorders>
            <w:shd w:fill="FFFBEB" w:val="clear"/>
            <w:tcMar>
              <w:top w:type="dxa" w:w="80"/>
              <w:left w:type="dxa" w:w="100"/>
              <w:bottom w:type="dxa" w:w="80"/>
              <w:right w:type="dxa" w:w="100"/>
            </w:tcMar>
          </w:tcPr>
          <w:p>
            <w:pPr>
              <w:jc w:val="left"/>
            </w:pPr>
            <w:r>
              <w:rPr>
                <w:rFonts w:ascii="Arial" w:cs="Arial" w:eastAsia="Arial" w:hAnsi="Arial"/>
                <w:color w:val="111827"/>
                <w:sz w:val="19"/>
                <w:szCs w:val="19"/>
              </w:rPr>
              <w:t xml:space="preserve">D-02 — Fix partial order encryption</w:t>
            </w:r>
          </w:p>
        </w:tc>
        <w:tc>
          <w:tcPr>
            <w:tcW w:type="dxa" w:w="4560"/>
            <w:tcBorders>
              <w:top w:val="single" w:color="DDDDDD" w:sz="4"/>
              <w:left w:val="single" w:color="DDDDDD" w:sz="4"/>
              <w:bottom w:val="single" w:color="DDDDDD" w:sz="4"/>
              <w:right w:val="single" w:color="DDDDDD" w:sz="4"/>
            </w:tcBorders>
            <w:shd w:fill="FFFBEB" w:val="clear"/>
            <w:tcMar>
              <w:top w:type="dxa" w:w="80"/>
              <w:left w:type="dxa" w:w="100"/>
              <w:bottom w:type="dxa" w:w="80"/>
              <w:right w:type="dxa" w:w="100"/>
            </w:tcMar>
          </w:tcPr>
          <w:p>
            <w:pPr>
              <w:jc w:val="left"/>
            </w:pPr>
            <w:r>
              <w:rPr>
                <w:rFonts w:ascii="Arial" w:cs="Arial" w:eastAsia="Arial" w:hAnsi="Arial"/>
                <w:color w:val="111827"/>
                <w:sz w:val="19"/>
                <w:szCs w:val="19"/>
              </w:rPr>
              <w:t xml:space="preserve">server/storage.ts</w:t>
            </w:r>
          </w:p>
        </w:tc>
        <w:tc>
          <w:tcPr>
            <w:tcW w:type="dxa" w:w="2000"/>
            <w:tcBorders>
              <w:top w:val="single" w:color="DDDDDD" w:sz="4"/>
              <w:left w:val="single" w:color="DDDDDD" w:sz="4"/>
              <w:bottom w:val="single" w:color="DDDDDD" w:sz="4"/>
              <w:right w:val="single" w:color="DDDDDD" w:sz="4"/>
            </w:tcBorders>
            <w:shd w:fill="FFFBEB" w:val="clear"/>
            <w:tcMar>
              <w:top w:type="dxa" w:w="80"/>
              <w:left w:type="dxa" w:w="100"/>
              <w:bottom w:type="dxa" w:w="80"/>
              <w:right w:type="dxa" w:w="100"/>
            </w:tcMar>
          </w:tcPr>
          <w:p>
            <w:pPr>
              <w:jc w:val="left"/>
            </w:pPr>
            <w:r>
              <w:rPr>
                <w:rFonts w:ascii="Arial" w:cs="Arial" w:eastAsia="Arial" w:hAnsi="Arial"/>
                <w:color w:val="111827"/>
                <w:sz w:val="19"/>
                <w:szCs w:val="19"/>
              </w:rPr>
              <w:t xml:space="preserve">1 hour</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center"/>
            </w:pPr>
            <w:r>
              <w:rPr>
                <w:rFonts w:ascii="Arial" w:cs="Arial" w:eastAsia="Arial" w:hAnsi="Arial"/>
                <w:color w:val="111827"/>
                <w:sz w:val="19"/>
                <w:szCs w:val="19"/>
              </w:rPr>
              <w:t xml:space="preserve">10</w:t>
            </w:r>
          </w:p>
        </w:tc>
        <w:tc>
          <w:tcPr>
            <w:tcW w:type="dxa" w:w="2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color w:val="111827"/>
                <w:sz w:val="19"/>
                <w:szCs w:val="19"/>
              </w:rPr>
              <w:t xml:space="preserve">U-05 — Remove medical data logging</w:t>
            </w:r>
          </w:p>
        </w:tc>
        <w:tc>
          <w:tcPr>
            <w:tcW w:type="dxa" w:w="45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color w:val="111827"/>
                <w:sz w:val="19"/>
                <w:szCs w:val="19"/>
              </w:rPr>
              <w:t xml:space="preserve">server/routes/ai.ts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left"/>
            </w:pPr>
            <w:r>
              <w:rPr>
                <w:rFonts w:ascii="Arial" w:cs="Arial" w:eastAsia="Arial" w:hAnsi="Arial"/>
                <w:color w:val="111827"/>
                <w:sz w:val="19"/>
                <w:szCs w:val="19"/>
              </w:rPr>
              <w:t xml:space="preserve">15 min</w:t>
            </w:r>
          </w:p>
        </w:tc>
      </w:tr>
    </w:tbl>
    <w:p>
      <w:pPr>
        <w:spacing w:after="0" w:before="200"/>
      </w:pPr>
      <w:r>
        <w:t xml:space="preserve"/>
      </w:r>
    </w:p>
    <w:p>
      <w:pPr>
        <w:pStyle w:val="Heading3"/>
        <w:spacing w:after="80" w:before="200"/>
      </w:pPr>
      <w:r>
        <w:rPr>
          <w:rFonts w:ascii="Arial" w:cs="Arial" w:eastAsia="Arial" w:hAnsi="Arial"/>
          <w:b/>
          <w:bCs/>
          <w:color w:val="111827"/>
          <w:sz w:val="22"/>
          <w:szCs w:val="22"/>
        </w:rPr>
        <w:t xml:space="preserve">Week 3+ — Polish &amp; Scalability</w:t>
      </w:r>
    </w:p>
    <w:p>
      <w:pPr>
        <w:spacing w:after="0" w:before="80"/>
      </w:pPr>
      <w:r>
        <w:t xml:space="preserve"/>
      </w:r>
    </w:p>
    <w:p>
      <w:pPr>
        <w:spacing w:after="120"/>
      </w:pPr>
      <w:r>
        <w:rPr>
          <w:rFonts w:ascii="Arial" w:cs="Arial" w:eastAsia="Arial" w:hAnsi="Arial"/>
          <w:b w:val="false"/>
          <w:bCs w:val="false"/>
          <w:color w:val="111827"/>
          <w:sz w:val="22"/>
          <w:szCs w:val="22"/>
        </w:rPr>
        <w:t xml:space="preserve">A-02 (conversation summarization), A-03 (disease match caching), D-01 (KDF upgrade), U-01 through U-07, M-01 through M-03, and the architecture improvements from Section 7.</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A56DB" w:sz="4"/>
              <w:right w:val="none" w:color="FFFFFF" w:sz="0"/>
            </w:tcBorders>
            <w:shd w:fill="EFF6FF" w:val="clear"/>
            <w:tcMar>
              <w:top w:type="dxa" w:w="120"/>
              <w:left w:type="dxa" w:w="160"/>
              <w:bottom w:type="dxa" w:w="120"/>
              <w:right w:type="dxa" w:w="160"/>
            </w:tcMar>
          </w:tcPr>
          <w:p>
            <w:r>
              <w:rPr>
                <w:rFonts w:ascii="Arial" w:cs="Arial" w:eastAsia="Arial" w:hAnsi="Arial"/>
                <w:b/>
                <w:bCs/>
                <w:color w:val="1A56DB"/>
                <w:sz w:val="28"/>
                <w:szCs w:val="28"/>
              </w:rPr>
              <w:t xml:space="preserve">9. Conclusion</w:t>
            </w:r>
          </w:p>
        </w:tc>
      </w:tr>
    </w:tbl>
    <w:p>
      <w:pPr>
        <w:spacing w:after="0" w:before="160"/>
      </w:pPr>
      <w:r>
        <w:t xml:space="preserve"/>
      </w:r>
    </w:p>
    <w:p>
      <w:pPr>
        <w:spacing w:after="120"/>
      </w:pPr>
      <w:r>
        <w:rPr>
          <w:rFonts w:ascii="Arial" w:cs="Arial" w:eastAsia="Arial" w:hAnsi="Arial"/>
          <w:b w:val="false"/>
          <w:bCs w:val="false"/>
          <w:color w:val="111827"/>
          <w:sz w:val="22"/>
          <w:szCs w:val="22"/>
        </w:rPr>
        <w:t xml:space="preserve">Tabibi is a genuinely impressive application. The medical knowledge, Iraq localization, and streaming architecture are all well above average for an AI health app. The core AI prompt — with its SOCRATES interview framework, TIER 1/TIER 2 emergency distinction, and Iraq epidemiological trigger rules — is production-quality clinical decision support.</w:t>
      </w:r>
    </w:p>
    <w:p>
      <w:pPr>
        <w:spacing w:after="0" w:before="120"/>
      </w:pPr>
      <w:r>
        <w:t xml:space="preserve"/>
      </w:r>
    </w:p>
    <w:p>
      <w:pPr>
        <w:spacing w:after="120"/>
      </w:pPr>
      <w:r>
        <w:rPr>
          <w:rFonts w:ascii="Arial" w:cs="Arial" w:eastAsia="Arial" w:hAnsi="Arial"/>
          <w:b w:val="false"/>
          <w:bCs w:val="false"/>
          <w:color w:val="111827"/>
          <w:sz w:val="22"/>
          <w:szCs w:val="22"/>
        </w:rPr>
        <w:t xml:space="preserve">The issues found are mostly architectural (rate limiting, encryption gaps) and frontend edge cases (severity fallbacks, component state bugs) rather than fundamental design flaws. They are all fixable in days, not weeks. The five critical/high items in Week 1 should be addressed before allowing public users onto the platform.</w:t>
      </w:r>
    </w:p>
    <w:p>
      <w:pPr>
        <w:spacing w:after="0" w:before="120"/>
      </w:pPr>
      <w:r>
        <w:t xml:space="preserve"/>
      </w:r>
    </w:p>
    <w:p>
      <w:pPr>
        <w:spacing w:after="120"/>
      </w:pPr>
      <w:r>
        <w:rPr>
          <w:rFonts w:ascii="Arial" w:cs="Arial" w:eastAsia="Arial" w:hAnsi="Arial"/>
          <w:b w:val="false"/>
          <w:bCs w:val="false"/>
          <w:color w:val="111827"/>
          <w:sz w:val="22"/>
          <w:szCs w:val="22"/>
        </w:rPr>
        <w:t xml:space="preserve">Once those critical items are fixed, Tabibi has a strong foundation to become a trusted medical triage tool for Iraqi patients — a product that genuinely addresses a real gap in accessible healthcare guidance.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40"/>
              <w:bottom w:type="dxa" w:w="160"/>
              <w:right w:type="dxa" w:w="240"/>
            </w:tcMar>
          </w:tcPr>
          <w:p>
            <w:pPr>
              <w:jc w:val="center"/>
            </w:pPr>
            <w:r>
              <w:rPr>
                <w:rFonts w:ascii="Arial" w:cs="Arial" w:eastAsia="Arial" w:hAnsi="Arial"/>
                <w:b/>
                <w:bCs/>
                <w:color w:val="1A56DB"/>
                <w:sz w:val="20"/>
                <w:szCs w:val="20"/>
              </w:rPr>
              <w:t xml:space="preserve">Total Issues Found: 27  |  Critical: 2  |  High: 6  |  Medium: 12  |  Low/UX: 7  |  Already Fixed: 3</w:t>
            </w:r>
          </w:p>
          <w:p>
            <w:pPr>
              <w:spacing w:before="80"/>
              <w:jc w:val="center"/>
            </w:pPr>
            <w:r>
              <w:rPr>
                <w:rFonts w:ascii="Arial" w:cs="Arial" w:eastAsia="Arial" w:hAnsi="Arial"/>
                <w:color w:val="6B7280"/>
                <w:sz w:val="18"/>
                <w:szCs w:val="18"/>
              </w:rPr>
              <w:t xml:space="preserve">Estimated time to fix all Critical + High items: 11-13 hours of development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1"/>
      </w:pBdr>
    </w:pPr>
    <w:r>
      <w:rPr>
        <w:rFonts w:ascii="Arial" w:cs="Arial" w:eastAsia="Arial" w:hAnsi="Arial"/>
        <w:color w:val="6B7280"/>
        <w:sz w:val="18"/>
        <w:szCs w:val="18"/>
      </w:rPr>
      <w:t xml:space="preserve">TABIBI (طبيبي) — Deep Codebase Audit Report</w:t>
    </w:r>
    <w:r>
      <w:rPr>
        <w:rFonts w:ascii="Arial" w:cs="Arial" w:eastAsia="Arial" w:hAnsi="Arial"/>
        <w:color w:val="6B7280"/>
        <w:sz w:val="18"/>
        <w:szCs w:val="18"/>
      </w:rPr>
      <w:t xml:space="preserve">   |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D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1182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2026-03-07T11:36:26.685Z</dcterms:created>
  <dcterms:modified xsi:type="dcterms:W3CDTF">2026-03-07T11:36:26.685Z</dcterms:modified>
</cp:coreProperties>
</file>

<file path=docProps/custom.xml><?xml version="1.0" encoding="utf-8"?>
<Properties xmlns="http://schemas.openxmlformats.org/officeDocument/2006/custom-properties" xmlns:vt="http://schemas.openxmlformats.org/officeDocument/2006/docPropsVTypes"/>
</file>