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360"/>
        <w:jc w:val="center"/>
      </w:pPr>
      <w:r>
        <w:rPr>
          <w:rFonts w:ascii="Calibri" w:hAnsi="Calibri"/>
          <w:b/>
          <w:i w:val="0"/>
          <w:color w:val="2E74B5"/>
          <w:sz w:val="20"/>
        </w:rPr>
        <w:t>NOTEBOOKLM-READY STUDY PACK</w:t>
      </w:r>
    </w:p>
    <w:p>
      <w:pPr>
        <w:pStyle w:val="Title"/>
        <w:jc w:val="center"/>
      </w:pPr>
      <w:r>
        <w:t>Ollama RAG Project Source Pack</w:t>
      </w:r>
    </w:p>
    <w:p>
      <w:pPr>
        <w:pStyle w:val="Subtitle"/>
        <w:jc w:val="center"/>
      </w:pPr>
      <w:r>
        <w:t>Upload this document to NotebookLM to plan, review, and test a private retrieval-augmented generation implementation</w:t>
      </w:r>
    </w:p>
    <w:p>
      <w:pPr>
        <w:spacing w:before="360"/>
        <w:jc w:val="center"/>
      </w:pPr>
      <w:r>
        <w:rPr>
          <w:rFonts w:ascii="Calibri" w:hAnsi="Calibri"/>
          <w:b w:val="0"/>
          <w:i w:val="0"/>
          <w:color w:val="59636E"/>
          <w:sz w:val="20"/>
        </w:rPr>
        <w:t>Prepared 2 September 2026</w:t>
      </w:r>
    </w:p>
    <w:p>
      <w:pPr>
        <w:spacing w:before="1100"/>
        <w:jc w:val="center"/>
      </w:pPr>
      <w:r>
        <w:rPr>
          <w:rFonts w:ascii="Calibri" w:hAnsi="Calibri"/>
          <w:b/>
          <w:i w:val="0"/>
          <w:color w:val="1F4D78"/>
          <w:sz w:val="18"/>
        </w:rPr>
        <w:t>LOCAL-FIRST  •  SOURCE-GROUNDED  •  DEPLOYABLE</w:t>
      </w:r>
    </w:p>
    <w:p>
      <w:r>
        <w:br w:type="page"/>
      </w:r>
    </w:p>
    <w:p>
      <w:pPr>
        <w:spacing w:after="40"/>
      </w:pPr>
    </w:p>
    <w:p>
      <w:pPr>
        <w:pStyle w:val="Heading1"/>
      </w:pPr>
      <w:r>
        <w:t>How to use this source</w:t>
      </w:r>
    </w:p>
    <w:p>
      <w:r>
        <w:rPr>
          <w:b/>
        </w:rPr>
        <w:t xml:space="preserve">Upload this DOCX to NotebookLM together with </w:t>
      </w:r>
      <w:r>
        <w:t>the implementation blueprint, your own policies/manuals, the Ollama API pages listed at the end, and a system requirements document. NotebookLM accepts DOCX, Markdown, TXT, PDF, CSV, PPTX, web URLs, and several other source types; Google states that each uploaded source may contain up to 500,000 words or 200 MB, subject to plan limits.</w:t>
      </w:r>
    </w:p>
    <w:p>
      <w:pPr>
        <w:pStyle w:val="Note"/>
      </w:pPr>
      <w:r>
        <w:rPr>
          <w:rFonts w:ascii="Calibri" w:hAnsi="Calibri"/>
          <w:b/>
          <w:i w:val="0"/>
          <w:color w:val="172B4D"/>
          <w:sz w:val="21"/>
        </w:rPr>
        <w:t xml:space="preserve">Important distinction  </w:t>
      </w:r>
      <w:r>
        <w:rPr>
          <w:rFonts w:ascii="Calibri" w:hAnsi="Calibri"/>
          <w:b w:val="0"/>
          <w:i w:val="0"/>
          <w:color w:val="172B4D"/>
          <w:sz w:val="21"/>
        </w:rPr>
        <w:t>NotebookLM helps you study, compare, and reason over the project sources. It does not become the production vector database or the Ollama runtime. The production RAG service still needs its own ingestion, embeddings, retrieval, access control, and evaluation.</w:t>
      </w:r>
    </w:p>
    <w:p>
      <w:pPr>
        <w:pStyle w:val="Heading1"/>
      </w:pPr>
      <w:r>
        <w:t>Project decision record</w:t>
      </w:r>
    </w:p>
    <w:tbl>
      <w:tblPr>
        <w:tblStyle w:val="TableGrid"/>
        <w:tblW w:type="dxa" w:w="9360"/>
        <w:jc w:val="left"/>
        <w:tblLayout w:type="fixed"/>
        <w:tblLook w:firstColumn="1" w:firstRow="1" w:lastColumn="0" w:lastRow="0" w:noHBand="0" w:noVBand="1" w:val="04A0"/>
        <w:tblInd w:w="120" w:type="dxa"/>
      </w:tblPr>
      <w:tblGrid>
        <w:gridCol w:w="2000"/>
        <w:gridCol w:w="2700"/>
        <w:gridCol w:w="4660"/>
      </w:tblGrid>
      <w:tr>
        <w:trPr>
          <w:tblHeader w:val="true"/>
        </w:trPr>
        <w:tc>
          <w:tcPr>
            <w:tcW w:type="dxa" w:w="2000"/>
            <w:shd w:fill="E8EEF5"/>
            <w:vAlign w:val="center"/>
            <w:tcMar>
              <w:top w:w="80" w:type="dxa"/>
              <w:start w:w="120" w:type="dxa"/>
              <w:bottom w:w="80" w:type="dxa"/>
              <w:end w:w="120" w:type="dxa"/>
            </w:tcMar>
          </w:tcPr>
          <w:p>
            <w:pPr>
              <w:spacing w:after="0"/>
            </w:pPr>
            <w:r>
              <w:rPr>
                <w:rFonts w:ascii="Calibri" w:hAnsi="Calibri"/>
                <w:b/>
                <w:i w:val="0"/>
                <w:color w:val="172B4D"/>
                <w:sz w:val="19"/>
              </w:rPr>
              <w:t>Decision</w:t>
            </w:r>
          </w:p>
        </w:tc>
        <w:tc>
          <w:tcPr>
            <w:tcW w:type="dxa" w:w="2700"/>
            <w:shd w:fill="E8EEF5"/>
            <w:vAlign w:val="center"/>
            <w:tcMar>
              <w:top w:w="80" w:type="dxa"/>
              <w:start w:w="120" w:type="dxa"/>
              <w:bottom w:w="80" w:type="dxa"/>
              <w:end w:w="120" w:type="dxa"/>
            </w:tcMar>
          </w:tcPr>
          <w:p>
            <w:pPr>
              <w:spacing w:after="0"/>
            </w:pPr>
            <w:r>
              <w:rPr>
                <w:rFonts w:ascii="Calibri" w:hAnsi="Calibri"/>
                <w:b/>
                <w:i w:val="0"/>
                <w:color w:val="172B4D"/>
                <w:sz w:val="19"/>
              </w:rPr>
              <w:t>Selected baseline</w:t>
            </w:r>
          </w:p>
        </w:tc>
        <w:tc>
          <w:tcPr>
            <w:tcW w:type="dxa" w:w="4660"/>
            <w:shd w:fill="E8EEF5"/>
            <w:vAlign w:val="center"/>
            <w:tcMar>
              <w:top w:w="80" w:type="dxa"/>
              <w:start w:w="120" w:type="dxa"/>
              <w:bottom w:w="80" w:type="dxa"/>
              <w:end w:w="120" w:type="dxa"/>
            </w:tcMar>
          </w:tcPr>
          <w:p>
            <w:pPr>
              <w:spacing w:after="0"/>
            </w:pPr>
            <w:r>
              <w:rPr>
                <w:rFonts w:ascii="Calibri" w:hAnsi="Calibri"/>
                <w:b/>
                <w:i w:val="0"/>
                <w:color w:val="172B4D"/>
                <w:sz w:val="19"/>
              </w:rPr>
              <w:t>Reason</w:t>
            </w:r>
          </w:p>
        </w:tc>
      </w:tr>
      <w:tr>
        <w:tc>
          <w:tcPr>
            <w:tcW w:type="dxa" w:w="2000"/>
            <w:vAlign w:val="top"/>
            <w:tcMar>
              <w:top w:w="80" w:type="dxa"/>
              <w:start w:w="120" w:type="dxa"/>
              <w:bottom w:w="80" w:type="dxa"/>
              <w:end w:w="120" w:type="dxa"/>
            </w:tcMar>
          </w:tcPr>
          <w:p>
            <w:pPr>
              <w:spacing w:after="0"/>
            </w:pPr>
            <w:r>
              <w:rPr>
                <w:rFonts w:ascii="Calibri" w:hAnsi="Calibri"/>
                <w:b w:val="0"/>
                <w:i w:val="0"/>
                <w:color w:val="202124"/>
                <w:sz w:val="18"/>
              </w:rPr>
              <w:t>Answer model</w:t>
            </w:r>
          </w:p>
        </w:tc>
        <w:tc>
          <w:tcPr>
            <w:tcW w:type="dxa" w:w="2700"/>
            <w:vAlign w:val="top"/>
            <w:tcMar>
              <w:top w:w="80" w:type="dxa"/>
              <w:start w:w="120" w:type="dxa"/>
              <w:bottom w:w="80" w:type="dxa"/>
              <w:end w:w="120" w:type="dxa"/>
            </w:tcMar>
          </w:tcPr>
          <w:p>
            <w:pPr>
              <w:spacing w:after="0"/>
            </w:pPr>
            <w:r>
              <w:rPr>
                <w:rFonts w:ascii="Calibri" w:hAnsi="Calibri"/>
                <w:b w:val="0"/>
                <w:i w:val="0"/>
                <w:color w:val="202124"/>
                <w:sz w:val="18"/>
              </w:rPr>
              <w:t>qwen3:8b</w:t>
            </w:r>
          </w:p>
        </w:tc>
        <w:tc>
          <w:tcPr>
            <w:tcW w:type="dxa" w:w="4660"/>
            <w:vAlign w:val="top"/>
            <w:tcMar>
              <w:top w:w="80" w:type="dxa"/>
              <w:start w:w="120" w:type="dxa"/>
              <w:bottom w:w="80" w:type="dxa"/>
              <w:end w:w="120" w:type="dxa"/>
            </w:tcMar>
          </w:tcPr>
          <w:p>
            <w:pPr>
              <w:spacing w:after="0"/>
            </w:pPr>
            <w:r>
              <w:rPr>
                <w:rFonts w:ascii="Calibri" w:hAnsi="Calibri"/>
                <w:b w:val="0"/>
                <w:i w:val="0"/>
                <w:color w:val="202124"/>
                <w:sz w:val="18"/>
              </w:rPr>
              <w:t>Practical local model for 12–16 GB-class hosts; multilingual and instruction-following capable.</w:t>
            </w:r>
          </w:p>
        </w:tc>
      </w:tr>
      <w:tr>
        <w:tc>
          <w:tcPr>
            <w:tcW w:type="dxa" w:w="2000"/>
            <w:vAlign w:val="top"/>
            <w:tcMar>
              <w:top w:w="80" w:type="dxa"/>
              <w:start w:w="120" w:type="dxa"/>
              <w:bottom w:w="80" w:type="dxa"/>
              <w:end w:w="120" w:type="dxa"/>
            </w:tcMar>
          </w:tcPr>
          <w:p>
            <w:pPr>
              <w:spacing w:after="0"/>
            </w:pPr>
            <w:r>
              <w:rPr>
                <w:rFonts w:ascii="Calibri" w:hAnsi="Calibri"/>
                <w:b w:val="0"/>
                <w:i w:val="0"/>
                <w:color w:val="202124"/>
                <w:sz w:val="18"/>
              </w:rPr>
              <w:t>Embedding model</w:t>
            </w:r>
          </w:p>
        </w:tc>
        <w:tc>
          <w:tcPr>
            <w:tcW w:type="dxa" w:w="2700"/>
            <w:vAlign w:val="top"/>
            <w:tcMar>
              <w:top w:w="80" w:type="dxa"/>
              <w:start w:w="120" w:type="dxa"/>
              <w:bottom w:w="80" w:type="dxa"/>
              <w:end w:w="120" w:type="dxa"/>
            </w:tcMar>
          </w:tcPr>
          <w:p>
            <w:pPr>
              <w:spacing w:after="0"/>
            </w:pPr>
            <w:r>
              <w:rPr>
                <w:rFonts w:ascii="Calibri" w:hAnsi="Calibri"/>
                <w:b w:val="0"/>
                <w:i w:val="0"/>
                <w:color w:val="202124"/>
                <w:sz w:val="18"/>
              </w:rPr>
              <w:t>embeddinggemma</w:t>
            </w:r>
          </w:p>
        </w:tc>
        <w:tc>
          <w:tcPr>
            <w:tcW w:type="dxa" w:w="4660"/>
            <w:vAlign w:val="top"/>
            <w:tcMar>
              <w:top w:w="80" w:type="dxa"/>
              <w:start w:w="120" w:type="dxa"/>
              <w:bottom w:w="80" w:type="dxa"/>
              <w:end w:w="120" w:type="dxa"/>
            </w:tcMar>
          </w:tcPr>
          <w:p>
            <w:pPr>
              <w:spacing w:after="0"/>
            </w:pPr>
            <w:r>
              <w:rPr>
                <w:rFonts w:ascii="Calibri" w:hAnsi="Calibri"/>
                <w:b w:val="0"/>
                <w:i w:val="0"/>
                <w:color w:val="202124"/>
                <w:sz w:val="18"/>
              </w:rPr>
              <w:t>Compact Ollama-recommended embedding model for retrieval and semantic similarity.</w:t>
            </w:r>
          </w:p>
        </w:tc>
      </w:tr>
      <w:tr>
        <w:tc>
          <w:tcPr>
            <w:tcW w:type="dxa" w:w="2000"/>
            <w:vAlign w:val="top"/>
            <w:tcMar>
              <w:top w:w="80" w:type="dxa"/>
              <w:start w:w="120" w:type="dxa"/>
              <w:bottom w:w="80" w:type="dxa"/>
              <w:end w:w="120" w:type="dxa"/>
            </w:tcMar>
          </w:tcPr>
          <w:p>
            <w:pPr>
              <w:spacing w:after="0"/>
            </w:pPr>
            <w:r>
              <w:rPr>
                <w:rFonts w:ascii="Calibri" w:hAnsi="Calibri"/>
                <w:b w:val="0"/>
                <w:i w:val="0"/>
                <w:color w:val="202124"/>
                <w:sz w:val="18"/>
              </w:rPr>
              <w:t>API</w:t>
            </w:r>
          </w:p>
        </w:tc>
        <w:tc>
          <w:tcPr>
            <w:tcW w:type="dxa" w:w="2700"/>
            <w:vAlign w:val="top"/>
            <w:tcMar>
              <w:top w:w="80" w:type="dxa"/>
              <w:start w:w="120" w:type="dxa"/>
              <w:bottom w:w="80" w:type="dxa"/>
              <w:end w:w="120" w:type="dxa"/>
            </w:tcMar>
          </w:tcPr>
          <w:p>
            <w:pPr>
              <w:spacing w:after="0"/>
            </w:pPr>
            <w:r>
              <w:rPr>
                <w:rFonts w:ascii="Calibri" w:hAnsi="Calibri"/>
                <w:b w:val="0"/>
                <w:i w:val="0"/>
                <w:color w:val="202124"/>
                <w:sz w:val="18"/>
              </w:rPr>
              <w:t>FastAPI</w:t>
            </w:r>
          </w:p>
        </w:tc>
        <w:tc>
          <w:tcPr>
            <w:tcW w:type="dxa" w:w="4660"/>
            <w:vAlign w:val="top"/>
            <w:tcMar>
              <w:top w:w="80" w:type="dxa"/>
              <w:start w:w="120" w:type="dxa"/>
              <w:bottom w:w="80" w:type="dxa"/>
              <w:end w:w="120" w:type="dxa"/>
            </w:tcMar>
          </w:tcPr>
          <w:p>
            <w:pPr>
              <w:spacing w:after="0"/>
            </w:pPr>
            <w:r>
              <w:rPr>
                <w:rFonts w:ascii="Calibri" w:hAnsi="Calibri"/>
                <w:b w:val="0"/>
                <w:i w:val="0"/>
                <w:color w:val="202124"/>
                <w:sz w:val="18"/>
              </w:rPr>
              <w:t>Simple typed endpoints for upload, indexing, querying, health, and administration.</w:t>
            </w:r>
          </w:p>
        </w:tc>
      </w:tr>
      <w:tr>
        <w:tc>
          <w:tcPr>
            <w:tcW w:type="dxa" w:w="2000"/>
            <w:vAlign w:val="top"/>
            <w:tcMar>
              <w:top w:w="80" w:type="dxa"/>
              <w:start w:w="120" w:type="dxa"/>
              <w:bottom w:w="80" w:type="dxa"/>
              <w:end w:w="120" w:type="dxa"/>
            </w:tcMar>
          </w:tcPr>
          <w:p>
            <w:pPr>
              <w:spacing w:after="0"/>
            </w:pPr>
            <w:r>
              <w:rPr>
                <w:rFonts w:ascii="Calibri" w:hAnsi="Calibri"/>
                <w:b w:val="0"/>
                <w:i w:val="0"/>
                <w:color w:val="202124"/>
                <w:sz w:val="18"/>
              </w:rPr>
              <w:t>Vector store</w:t>
            </w:r>
          </w:p>
        </w:tc>
        <w:tc>
          <w:tcPr>
            <w:tcW w:type="dxa" w:w="2700"/>
            <w:vAlign w:val="top"/>
            <w:tcMar>
              <w:top w:w="80" w:type="dxa"/>
              <w:start w:w="120" w:type="dxa"/>
              <w:bottom w:w="80" w:type="dxa"/>
              <w:end w:w="120" w:type="dxa"/>
            </w:tcMar>
          </w:tcPr>
          <w:p>
            <w:pPr>
              <w:spacing w:after="0"/>
            </w:pPr>
            <w:r>
              <w:rPr>
                <w:rFonts w:ascii="Calibri" w:hAnsi="Calibri"/>
                <w:b w:val="0"/>
                <w:i w:val="0"/>
                <w:color w:val="202124"/>
                <w:sz w:val="18"/>
              </w:rPr>
              <w:t>SQLite + vectors for prototype; pgvector or Qdrant for scale</w:t>
            </w:r>
          </w:p>
        </w:tc>
        <w:tc>
          <w:tcPr>
            <w:tcW w:type="dxa" w:w="4660"/>
            <w:vAlign w:val="top"/>
            <w:tcMar>
              <w:top w:w="80" w:type="dxa"/>
              <w:start w:w="120" w:type="dxa"/>
              <w:bottom w:w="80" w:type="dxa"/>
              <w:end w:w="120" w:type="dxa"/>
            </w:tcMar>
          </w:tcPr>
          <w:p>
            <w:pPr>
              <w:spacing w:after="0"/>
            </w:pPr>
            <w:r>
              <w:rPr>
                <w:rFonts w:ascii="Calibri" w:hAnsi="Calibri"/>
                <w:b w:val="0"/>
                <w:i w:val="0"/>
                <w:color w:val="202124"/>
                <w:sz w:val="18"/>
              </w:rPr>
              <w:t>Start simple, then add stronger filtering, concurrency, and operations when needed.</w:t>
            </w:r>
          </w:p>
        </w:tc>
      </w:tr>
      <w:tr>
        <w:tc>
          <w:tcPr>
            <w:tcW w:type="dxa" w:w="2000"/>
            <w:vAlign w:val="top"/>
            <w:tcMar>
              <w:top w:w="80" w:type="dxa"/>
              <w:start w:w="120" w:type="dxa"/>
              <w:bottom w:w="80" w:type="dxa"/>
              <w:end w:w="120" w:type="dxa"/>
            </w:tcMar>
          </w:tcPr>
          <w:p>
            <w:pPr>
              <w:spacing w:after="0"/>
            </w:pPr>
            <w:r>
              <w:rPr>
                <w:rFonts w:ascii="Calibri" w:hAnsi="Calibri"/>
                <w:b w:val="0"/>
                <w:i w:val="0"/>
                <w:color w:val="202124"/>
                <w:sz w:val="18"/>
              </w:rPr>
              <w:t>Chunking</w:t>
            </w:r>
          </w:p>
        </w:tc>
        <w:tc>
          <w:tcPr>
            <w:tcW w:type="dxa" w:w="2700"/>
            <w:vAlign w:val="top"/>
            <w:tcMar>
              <w:top w:w="80" w:type="dxa"/>
              <w:start w:w="120" w:type="dxa"/>
              <w:bottom w:w="80" w:type="dxa"/>
              <w:end w:w="120" w:type="dxa"/>
            </w:tcMar>
          </w:tcPr>
          <w:p>
            <w:pPr>
              <w:spacing w:after="0"/>
            </w:pPr>
            <w:r>
              <w:rPr>
                <w:rFonts w:ascii="Calibri" w:hAnsi="Calibri"/>
                <w:b w:val="0"/>
                <w:i w:val="0"/>
                <w:color w:val="202124"/>
                <w:sz w:val="18"/>
              </w:rPr>
              <w:t>800–1,000 chars; 120–150 overlap</w:t>
            </w:r>
          </w:p>
        </w:tc>
        <w:tc>
          <w:tcPr>
            <w:tcW w:type="dxa" w:w="4660"/>
            <w:vAlign w:val="top"/>
            <w:tcMar>
              <w:top w:w="80" w:type="dxa"/>
              <w:start w:w="120" w:type="dxa"/>
              <w:bottom w:w="80" w:type="dxa"/>
              <w:end w:w="120" w:type="dxa"/>
            </w:tcMar>
          </w:tcPr>
          <w:p>
            <w:pPr>
              <w:spacing w:after="0"/>
            </w:pPr>
            <w:r>
              <w:rPr>
                <w:rFonts w:ascii="Calibri" w:hAnsi="Calibri"/>
                <w:b w:val="0"/>
                <w:i w:val="0"/>
                <w:color w:val="202124"/>
                <w:sz w:val="18"/>
              </w:rPr>
              <w:t>A testable starting point, not a universal optimum.</w:t>
            </w:r>
          </w:p>
        </w:tc>
      </w:tr>
      <w:tr>
        <w:tc>
          <w:tcPr>
            <w:tcW w:type="dxa" w:w="2000"/>
            <w:vAlign w:val="top"/>
            <w:tcMar>
              <w:top w:w="80" w:type="dxa"/>
              <w:start w:w="120" w:type="dxa"/>
              <w:bottom w:w="80" w:type="dxa"/>
              <w:end w:w="120" w:type="dxa"/>
            </w:tcMar>
          </w:tcPr>
          <w:p>
            <w:pPr>
              <w:spacing w:after="0"/>
            </w:pPr>
            <w:r>
              <w:rPr>
                <w:rFonts w:ascii="Calibri" w:hAnsi="Calibri"/>
                <w:b w:val="0"/>
                <w:i w:val="0"/>
                <w:color w:val="202124"/>
                <w:sz w:val="18"/>
              </w:rPr>
              <w:t>Retrieval</w:t>
            </w:r>
          </w:p>
        </w:tc>
        <w:tc>
          <w:tcPr>
            <w:tcW w:type="dxa" w:w="2700"/>
            <w:vAlign w:val="top"/>
            <w:tcMar>
              <w:top w:w="80" w:type="dxa"/>
              <w:start w:w="120" w:type="dxa"/>
              <w:bottom w:w="80" w:type="dxa"/>
              <w:end w:w="120" w:type="dxa"/>
            </w:tcMar>
          </w:tcPr>
          <w:p>
            <w:pPr>
              <w:spacing w:after="0"/>
            </w:pPr>
            <w:r>
              <w:rPr>
                <w:rFonts w:ascii="Calibri" w:hAnsi="Calibri"/>
                <w:b w:val="0"/>
                <w:i w:val="0"/>
                <w:color w:val="202124"/>
                <w:sz w:val="18"/>
              </w:rPr>
              <w:t>cosine similarity; top-k 5 after candidate filtering</w:t>
            </w:r>
          </w:p>
        </w:tc>
        <w:tc>
          <w:tcPr>
            <w:tcW w:type="dxa" w:w="4660"/>
            <w:vAlign w:val="top"/>
            <w:tcMar>
              <w:top w:w="80" w:type="dxa"/>
              <w:start w:w="120" w:type="dxa"/>
              <w:bottom w:w="80" w:type="dxa"/>
              <w:end w:w="120" w:type="dxa"/>
            </w:tcMar>
          </w:tcPr>
          <w:p>
            <w:pPr>
              <w:spacing w:after="0"/>
            </w:pPr>
            <w:r>
              <w:rPr>
                <w:rFonts w:ascii="Calibri" w:hAnsi="Calibri"/>
                <w:b w:val="0"/>
                <w:i w:val="0"/>
                <w:color w:val="202124"/>
                <w:sz w:val="18"/>
              </w:rPr>
              <w:t>Matches normalized text embeddings and keeps prompt context focused.</w:t>
            </w:r>
          </w:p>
        </w:tc>
      </w:tr>
      <w:tr>
        <w:tc>
          <w:tcPr>
            <w:tcW w:type="dxa" w:w="2000"/>
            <w:vAlign w:val="top"/>
            <w:tcMar>
              <w:top w:w="80" w:type="dxa"/>
              <w:start w:w="120" w:type="dxa"/>
              <w:bottom w:w="80" w:type="dxa"/>
              <w:end w:w="120" w:type="dxa"/>
            </w:tcMar>
          </w:tcPr>
          <w:p>
            <w:pPr>
              <w:spacing w:after="0"/>
            </w:pPr>
            <w:r>
              <w:rPr>
                <w:rFonts w:ascii="Calibri" w:hAnsi="Calibri"/>
                <w:b w:val="0"/>
                <w:i w:val="0"/>
                <w:color w:val="202124"/>
                <w:sz w:val="18"/>
              </w:rPr>
              <w:t>Grounding</w:t>
            </w:r>
          </w:p>
        </w:tc>
        <w:tc>
          <w:tcPr>
            <w:tcW w:type="dxa" w:w="2700"/>
            <w:vAlign w:val="top"/>
            <w:tcMar>
              <w:top w:w="80" w:type="dxa"/>
              <w:start w:w="120" w:type="dxa"/>
              <w:bottom w:w="80" w:type="dxa"/>
              <w:end w:w="120" w:type="dxa"/>
            </w:tcMar>
          </w:tcPr>
          <w:p>
            <w:pPr>
              <w:spacing w:after="0"/>
            </w:pPr>
            <w:r>
              <w:rPr>
                <w:rFonts w:ascii="Calibri" w:hAnsi="Calibri"/>
                <w:b w:val="0"/>
                <w:i w:val="0"/>
                <w:color w:val="202124"/>
                <w:sz w:val="18"/>
              </w:rPr>
              <w:t>context-only answers with [S#] citations</w:t>
            </w:r>
          </w:p>
        </w:tc>
        <w:tc>
          <w:tcPr>
            <w:tcW w:type="dxa" w:w="4660"/>
            <w:vAlign w:val="top"/>
            <w:tcMar>
              <w:top w:w="80" w:type="dxa"/>
              <w:start w:w="120" w:type="dxa"/>
              <w:bottom w:w="80" w:type="dxa"/>
              <w:end w:w="120" w:type="dxa"/>
            </w:tcMar>
          </w:tcPr>
          <w:p>
            <w:pPr>
              <w:spacing w:after="0"/>
            </w:pPr>
            <w:r>
              <w:rPr>
                <w:rFonts w:ascii="Calibri" w:hAnsi="Calibri"/>
                <w:b w:val="0"/>
                <w:i w:val="0"/>
                <w:color w:val="202124"/>
                <w:sz w:val="18"/>
              </w:rPr>
              <w:t>Makes unsupported answers visible and testable.</w:t>
            </w:r>
          </w:p>
        </w:tc>
      </w:tr>
    </w:tbl>
    <w:p>
      <w:pPr>
        <w:spacing w:after="0"/>
      </w:pPr>
    </w:p>
    <w:p>
      <w:pPr>
        <w:pStyle w:val="Heading1"/>
      </w:pPr>
      <w:r>
        <w:t>RAG vocabulary</w:t>
      </w:r>
    </w:p>
    <w:p>
      <w:pPr>
        <w:spacing w:after="100"/>
      </w:pPr>
      <w:r>
        <w:rPr>
          <w:rFonts w:ascii="Calibri" w:hAnsi="Calibri"/>
          <w:b/>
          <w:i w:val="0"/>
          <w:color w:val="1F4D78"/>
          <w:sz w:val="22"/>
        </w:rPr>
        <w:t xml:space="preserve">Corpus: </w:t>
      </w:r>
      <w:r>
        <w:t>The complete approved set of source documents available to the system.</w:t>
      </w:r>
    </w:p>
    <w:p>
      <w:pPr>
        <w:spacing w:after="100"/>
      </w:pPr>
      <w:r>
        <w:rPr>
          <w:rFonts w:ascii="Calibri" w:hAnsi="Calibri"/>
          <w:b/>
          <w:i w:val="0"/>
          <w:color w:val="1F4D78"/>
          <w:sz w:val="22"/>
        </w:rPr>
        <w:t xml:space="preserve">Chunk: </w:t>
      </w:r>
      <w:r>
        <w:t>A retrievable passage derived from a source, stored with metadata and a stable identifier.</w:t>
      </w:r>
    </w:p>
    <w:p>
      <w:pPr>
        <w:spacing w:after="100"/>
      </w:pPr>
      <w:r>
        <w:rPr>
          <w:rFonts w:ascii="Calibri" w:hAnsi="Calibri"/>
          <w:b/>
          <w:i w:val="0"/>
          <w:color w:val="1F4D78"/>
          <w:sz w:val="22"/>
        </w:rPr>
        <w:t xml:space="preserve">Embedding: </w:t>
      </w:r>
      <w:r>
        <w:t>A numeric vector representing text meaning for similarity search.</w:t>
      </w:r>
    </w:p>
    <w:p>
      <w:pPr>
        <w:spacing w:after="100"/>
      </w:pPr>
      <w:r>
        <w:rPr>
          <w:rFonts w:ascii="Calibri" w:hAnsi="Calibri"/>
          <w:b/>
          <w:i w:val="0"/>
          <w:color w:val="1F4D78"/>
          <w:sz w:val="22"/>
        </w:rPr>
        <w:t xml:space="preserve">Vector store: </w:t>
      </w:r>
      <w:r>
        <w:t>A database or index that stores embeddings and lets the application search for similar vectors.</w:t>
      </w:r>
    </w:p>
    <w:p>
      <w:pPr>
        <w:spacing w:after="100"/>
      </w:pPr>
      <w:r>
        <w:rPr>
          <w:rFonts w:ascii="Calibri" w:hAnsi="Calibri"/>
          <w:b/>
          <w:i w:val="0"/>
          <w:color w:val="1F4D78"/>
          <w:sz w:val="22"/>
        </w:rPr>
        <w:t xml:space="preserve">Retriever: </w:t>
      </w:r>
      <w:r>
        <w:t>The component that selects passages relevant to the user's question.</w:t>
      </w:r>
    </w:p>
    <w:p>
      <w:pPr>
        <w:spacing w:after="100"/>
      </w:pPr>
      <w:r>
        <w:rPr>
          <w:rFonts w:ascii="Calibri" w:hAnsi="Calibri"/>
          <w:b/>
          <w:i w:val="0"/>
          <w:color w:val="1F4D78"/>
          <w:sz w:val="22"/>
        </w:rPr>
        <w:t xml:space="preserve">Top-k: </w:t>
      </w:r>
      <w:r>
        <w:t>The number of highest-ranked passages retained at a retrieval stage.</w:t>
      </w:r>
    </w:p>
    <w:p>
      <w:pPr>
        <w:spacing w:after="100"/>
      </w:pPr>
      <w:r>
        <w:rPr>
          <w:rFonts w:ascii="Calibri" w:hAnsi="Calibri"/>
          <w:b/>
          <w:i w:val="0"/>
          <w:color w:val="1F4D78"/>
          <w:sz w:val="22"/>
        </w:rPr>
        <w:t xml:space="preserve">Reranker: </w:t>
      </w:r>
      <w:r>
        <w:t>An optional second-stage model that reorders candidate passages for relevance.</w:t>
      </w:r>
    </w:p>
    <w:p>
      <w:pPr>
        <w:spacing w:after="100"/>
      </w:pPr>
      <w:r>
        <w:rPr>
          <w:rFonts w:ascii="Calibri" w:hAnsi="Calibri"/>
          <w:b/>
          <w:i w:val="0"/>
          <w:color w:val="1F4D78"/>
          <w:sz w:val="22"/>
        </w:rPr>
        <w:t xml:space="preserve">Grounding: </w:t>
      </w:r>
      <w:r>
        <w:t>Constraining the generated answer to retrieved evidence.</w:t>
      </w:r>
    </w:p>
    <w:p>
      <w:pPr>
        <w:spacing w:after="100"/>
      </w:pPr>
      <w:r>
        <w:rPr>
          <w:rFonts w:ascii="Calibri" w:hAnsi="Calibri"/>
          <w:b/>
          <w:i w:val="0"/>
          <w:color w:val="1F4D78"/>
          <w:sz w:val="22"/>
        </w:rPr>
        <w:t xml:space="preserve">Hallucination: </w:t>
      </w:r>
      <w:r>
        <w:t>A confident statement that is unsupported, incorrect, or invented.</w:t>
      </w:r>
    </w:p>
    <w:p>
      <w:pPr>
        <w:spacing w:after="100"/>
      </w:pPr>
      <w:r>
        <w:rPr>
          <w:rFonts w:ascii="Calibri" w:hAnsi="Calibri"/>
          <w:b/>
          <w:i w:val="0"/>
          <w:color w:val="1F4D78"/>
          <w:sz w:val="22"/>
        </w:rPr>
        <w:t xml:space="preserve">Citation integrity: </w:t>
      </w:r>
      <w:r>
        <w:t>The requirement that every cited source was retrieved and actually supports the adjacent claim.</w:t>
      </w:r>
    </w:p>
    <w:p>
      <w:pPr>
        <w:pStyle w:val="Heading1"/>
      </w:pPr>
      <w:r>
        <w:t>Documents to add to your NotebookLM notebook</w:t>
      </w:r>
    </w:p>
    <w:p>
      <w:pPr>
        <w:numPr>
          <w:ilvl w:val="0"/>
          <w:numId w:val="10"/>
        </w:numPr>
        <w:spacing w:after="160" w:line="300" w:lineRule="auto"/>
      </w:pPr>
      <w:r>
        <w:t>This source pack and the Ollama RAG Implementation Blueprint.</w:t>
      </w:r>
    </w:p>
    <w:p>
      <w:pPr>
        <w:numPr>
          <w:ilvl w:val="0"/>
          <w:numId w:val="10"/>
        </w:numPr>
        <w:spacing w:after="160" w:line="300" w:lineRule="auto"/>
      </w:pPr>
      <w:r>
        <w:t>The official Ollama Embeddings, /api/embed, /api/chat, Context Length, Linux, and selected model library pages.</w:t>
      </w:r>
    </w:p>
    <w:p>
      <w:pPr>
        <w:numPr>
          <w:ilvl w:val="0"/>
          <w:numId w:val="10"/>
        </w:numPr>
        <w:spacing w:after="160" w:line="300" w:lineRule="auto"/>
      </w:pPr>
      <w:r>
        <w:t>Your business requirements: intended users, document types, expected question volume, answer latency, and availability target.</w:t>
      </w:r>
    </w:p>
    <w:p>
      <w:pPr>
        <w:numPr>
          <w:ilvl w:val="0"/>
          <w:numId w:val="10"/>
        </w:numPr>
        <w:spacing w:after="160" w:line="300" w:lineRule="auto"/>
      </w:pPr>
      <w:r>
        <w:t>Your security and privacy requirements: data classification, access rules, retention, deletion, audit, backup, and incident response.</w:t>
      </w:r>
    </w:p>
    <w:p>
      <w:pPr>
        <w:numPr>
          <w:ilvl w:val="0"/>
          <w:numId w:val="10"/>
        </w:numPr>
        <w:spacing w:after="160" w:line="300" w:lineRule="auto"/>
      </w:pPr>
      <w:r>
        <w:t>A document inventory with owner, sensitivity, format, update frequency, and authoritative version.</w:t>
      </w:r>
    </w:p>
    <w:p>
      <w:pPr>
        <w:numPr>
          <w:ilvl w:val="0"/>
          <w:numId w:val="10"/>
        </w:numPr>
        <w:spacing w:after="160" w:line="300" w:lineRule="auto"/>
      </w:pPr>
      <w:r>
        <w:t>A representative evaluation set with questions, expected facts, required source passages, and not-found cases.</w:t>
      </w:r>
    </w:p>
    <w:p>
      <w:pPr>
        <w:numPr>
          <w:ilvl w:val="0"/>
          <w:numId w:val="10"/>
        </w:numPr>
        <w:spacing w:after="160" w:line="300" w:lineRule="auto"/>
      </w:pPr>
      <w:r>
        <w:t>Hardware specifications and measured Ollama performance from the intended deployment host.</w:t>
      </w:r>
    </w:p>
    <w:p>
      <w:pPr>
        <w:numPr>
          <w:ilvl w:val="0"/>
          <w:numId w:val="10"/>
        </w:numPr>
        <w:spacing w:after="160" w:line="300" w:lineRule="auto"/>
      </w:pPr>
      <w:r>
        <w:t>A change log recording model, embedding model, chunking, retrieval, prompt, and index versions.</w:t>
      </w:r>
    </w:p>
    <w:p>
      <w:pPr>
        <w:pStyle w:val="Heading1"/>
      </w:pPr>
      <w:r>
        <w:t>Source preparation rules</w:t>
      </w:r>
    </w:p>
    <w:p>
      <w:pPr>
        <w:numPr>
          <w:ilvl w:val="0"/>
          <w:numId w:val="10"/>
        </w:numPr>
        <w:spacing w:after="160" w:line="300" w:lineRule="auto"/>
      </w:pPr>
      <w:r>
        <w:t>Use authoritative, current, and legally permitted sources. Record owner and effective date.</w:t>
      </w:r>
    </w:p>
    <w:p>
      <w:pPr>
        <w:numPr>
          <w:ilvl w:val="0"/>
          <w:numId w:val="10"/>
        </w:numPr>
        <w:spacing w:after="160" w:line="300" w:lineRule="auto"/>
      </w:pPr>
      <w:r>
        <w:t>Prefer text-searchable files. OCR image-only PDFs before ingestion and spot-check the extracted text.</w:t>
      </w:r>
    </w:p>
    <w:p>
      <w:pPr>
        <w:numPr>
          <w:ilvl w:val="0"/>
          <w:numId w:val="10"/>
        </w:numPr>
        <w:spacing w:after="160" w:line="300" w:lineRule="auto"/>
      </w:pPr>
      <w:r>
        <w:t>Keep headings, section numbers, page numbers, table labels, and document titles; they improve metadata and citations.</w:t>
      </w:r>
    </w:p>
    <w:p>
      <w:pPr>
        <w:numPr>
          <w:ilvl w:val="0"/>
          <w:numId w:val="10"/>
        </w:numPr>
        <w:spacing w:after="160" w:line="300" w:lineRule="auto"/>
      </w:pPr>
      <w:r>
        <w:t>Remove duplicate and obsolete copies or label superseded versions clearly.</w:t>
      </w:r>
    </w:p>
    <w:p>
      <w:pPr>
        <w:numPr>
          <w:ilvl w:val="0"/>
          <w:numId w:val="10"/>
        </w:numPr>
        <w:spacing w:after="160" w:line="300" w:lineRule="auto"/>
      </w:pPr>
      <w:r>
        <w:t>Do not upload passwords, API keys, private tokens, or unrelated personal data.</w:t>
      </w:r>
    </w:p>
    <w:p>
      <w:pPr>
        <w:numPr>
          <w:ilvl w:val="0"/>
          <w:numId w:val="10"/>
        </w:numPr>
        <w:spacing w:after="160" w:line="300" w:lineRule="auto"/>
      </w:pPr>
      <w:r>
        <w:t>For production RAG, enforce authorization at retrieval time; source filtering only in the user interface is insufficient.</w:t>
      </w:r>
    </w:p>
    <w:p>
      <w:pPr>
        <w:pStyle w:val="Heading1"/>
      </w:pPr>
      <w:r>
        <w:t>Questions to ask NotebookLM</w:t>
      </w:r>
    </w:p>
    <w:p>
      <w:pPr>
        <w:pStyle w:val="ListNumber"/>
        <w:numPr>
          <w:ilvl w:val="0"/>
          <w:numId w:val="11"/>
        </w:numPr>
      </w:pPr>
      <w:r>
        <w:t>Using only the selected sources, summarize the proposed RAG architecture and list every component that must be implemented.</w:t>
      </w:r>
    </w:p>
    <w:p>
      <w:pPr>
        <w:pStyle w:val="ListNumber"/>
        <w:numPr>
          <w:ilvl w:val="0"/>
          <w:numId w:val="11"/>
        </w:numPr>
      </w:pPr>
      <w:r>
        <w:t>Compare qwen3:4b, qwen3:8b, qwen3:14b, and qwen3.8:27b for our stated hardware. Separate documented facts from assumptions.</w:t>
      </w:r>
    </w:p>
    <w:p>
      <w:pPr>
        <w:pStyle w:val="ListNumber"/>
        <w:numPr>
          <w:ilvl w:val="0"/>
          <w:numId w:val="11"/>
        </w:numPr>
      </w:pPr>
      <w:r>
        <w:t>Create a requirements traceability matrix linking each security requirement to an implementation control and an acceptance test.</w:t>
      </w:r>
    </w:p>
    <w:p>
      <w:pPr>
        <w:pStyle w:val="ListNumber"/>
        <w:numPr>
          <w:ilvl w:val="0"/>
          <w:numId w:val="11"/>
        </w:numPr>
      </w:pPr>
      <w:r>
        <w:t>Find contradictions among the source documents about model choice, chunk size, context length, or deployment topology. Cite both sides.</w:t>
      </w:r>
    </w:p>
    <w:p>
      <w:pPr>
        <w:pStyle w:val="ListNumber"/>
        <w:numPr>
          <w:ilvl w:val="0"/>
          <w:numId w:val="11"/>
        </w:numPr>
      </w:pPr>
      <w:r>
        <w:t>Create 30 evaluation questions: 15 direct facts, 5 multi-section synthesis questions, 5 conflicting-source questions, and 5 not-found questions.</w:t>
      </w:r>
    </w:p>
    <w:p>
      <w:pPr>
        <w:pStyle w:val="ListNumber"/>
        <w:numPr>
          <w:ilvl w:val="0"/>
          <w:numId w:val="11"/>
        </w:numPr>
      </w:pPr>
      <w:r>
        <w:t>For every evaluation question, identify the expected source document and exact supporting passage. Do not invent missing answers.</w:t>
      </w:r>
    </w:p>
    <w:p>
      <w:pPr>
        <w:pStyle w:val="ListNumber"/>
        <w:numPr>
          <w:ilvl w:val="0"/>
          <w:numId w:val="11"/>
        </w:numPr>
      </w:pPr>
      <w:r>
        <w:t>Review the API contract and identify missing error cases, authorization checks, observability fields, and deletion behavior.</w:t>
      </w:r>
    </w:p>
    <w:p>
      <w:pPr>
        <w:pStyle w:val="ListNumber"/>
        <w:numPr>
          <w:ilvl w:val="0"/>
          <w:numId w:val="11"/>
        </w:numPr>
      </w:pPr>
      <w:r>
        <w:t>Create a phased implementation plan: prototype, internal pilot, security hardening, load test, and production release.</w:t>
      </w:r>
    </w:p>
    <w:p>
      <w:pPr>
        <w:pStyle w:val="ListNumber"/>
        <w:numPr>
          <w:ilvl w:val="0"/>
          <w:numId w:val="11"/>
        </w:numPr>
      </w:pPr>
      <w:r>
        <w:t>Draft a failure-mode review for document parsing, embedding, retrieval, generation, citation, model availability, and database corruption.</w:t>
      </w:r>
    </w:p>
    <w:p>
      <w:pPr>
        <w:pStyle w:val="ListNumber"/>
        <w:numPr>
          <w:ilvl w:val="0"/>
          <w:numId w:val="11"/>
        </w:numPr>
      </w:pPr>
      <w:r>
        <w:t>Produce a go-live checklist grounded only in the uploaded requirements and implementation blueprint.</w:t>
      </w:r>
    </w:p>
    <w:p>
      <w:pPr>
        <w:pStyle w:val="Heading1"/>
      </w:pPr>
      <w:r>
        <w:t>Evaluation worksheet</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vAlign w:val="center"/>
            <w:tcMar>
              <w:top w:w="80" w:type="dxa"/>
              <w:start w:w="120" w:type="dxa"/>
              <w:bottom w:w="80" w:type="dxa"/>
              <w:end w:w="120" w:type="dxa"/>
            </w:tcMar>
          </w:tcPr>
          <w:p>
            <w:pPr>
              <w:spacing w:after="0"/>
            </w:pPr>
            <w:r>
              <w:rPr>
                <w:rFonts w:ascii="Calibri" w:hAnsi="Calibri"/>
                <w:b/>
                <w:i w:val="0"/>
                <w:color w:val="172B4D"/>
                <w:sz w:val="19"/>
              </w:rPr>
              <w:t>Field</w:t>
            </w:r>
          </w:p>
        </w:tc>
        <w:tc>
          <w:tcPr>
            <w:tcW w:type="dxa" w:w="7060"/>
            <w:shd w:fill="E8EEF5"/>
            <w:vAlign w:val="center"/>
            <w:tcMar>
              <w:top w:w="80" w:type="dxa"/>
              <w:start w:w="120" w:type="dxa"/>
              <w:bottom w:w="80" w:type="dxa"/>
              <w:end w:w="120" w:type="dxa"/>
            </w:tcMar>
          </w:tcPr>
          <w:p>
            <w:pPr>
              <w:spacing w:after="0"/>
            </w:pPr>
            <w:r>
              <w:rPr>
                <w:rFonts w:ascii="Calibri" w:hAnsi="Calibri"/>
                <w:b/>
                <w:i w:val="0"/>
                <w:color w:val="172B4D"/>
                <w:sz w:val="19"/>
              </w:rPr>
              <w:t>What to record</w:t>
            </w:r>
          </w:p>
        </w:tc>
      </w:tr>
      <w:tr>
        <w:tc>
          <w:tcPr>
            <w:tcW w:type="dxa" w:w="2300"/>
            <w:vAlign w:val="top"/>
            <w:tcMar>
              <w:top w:w="80" w:type="dxa"/>
              <w:start w:w="120" w:type="dxa"/>
              <w:bottom w:w="80" w:type="dxa"/>
              <w:end w:w="120" w:type="dxa"/>
            </w:tcMar>
          </w:tcPr>
          <w:p>
            <w:pPr>
              <w:spacing w:after="0"/>
            </w:pPr>
            <w:r>
              <w:rPr>
                <w:rFonts w:ascii="Calibri" w:hAnsi="Calibri"/>
                <w:b w:val="0"/>
                <w:i w:val="0"/>
                <w:color w:val="202124"/>
                <w:sz w:val="18"/>
              </w:rPr>
              <w:t>Question ID</w:t>
            </w:r>
          </w:p>
        </w:tc>
        <w:tc>
          <w:tcPr>
            <w:tcW w:type="dxa" w:w="7060"/>
            <w:vAlign w:val="top"/>
            <w:tcMar>
              <w:top w:w="80" w:type="dxa"/>
              <w:start w:w="120" w:type="dxa"/>
              <w:bottom w:w="80" w:type="dxa"/>
              <w:end w:w="120" w:type="dxa"/>
            </w:tcMar>
          </w:tcPr>
          <w:p>
            <w:pPr>
              <w:spacing w:after="0"/>
            </w:pPr>
            <w:r>
              <w:rPr>
                <w:rFonts w:ascii="Calibri" w:hAnsi="Calibri"/>
                <w:b w:val="0"/>
                <w:i w:val="0"/>
                <w:color w:val="202124"/>
                <w:sz w:val="18"/>
              </w:rPr>
              <w:t>Stable identifier, user role, collection, and question text</w:t>
            </w:r>
          </w:p>
        </w:tc>
      </w:tr>
      <w:tr>
        <w:tc>
          <w:tcPr>
            <w:tcW w:type="dxa" w:w="2300"/>
            <w:vAlign w:val="top"/>
            <w:tcMar>
              <w:top w:w="80" w:type="dxa"/>
              <w:start w:w="120" w:type="dxa"/>
              <w:bottom w:w="80" w:type="dxa"/>
              <w:end w:w="120" w:type="dxa"/>
            </w:tcMar>
          </w:tcPr>
          <w:p>
            <w:pPr>
              <w:spacing w:after="0"/>
            </w:pPr>
            <w:r>
              <w:rPr>
                <w:rFonts w:ascii="Calibri" w:hAnsi="Calibri"/>
                <w:b w:val="0"/>
                <w:i w:val="0"/>
                <w:color w:val="202124"/>
                <w:sz w:val="18"/>
              </w:rPr>
              <w:t>Expected evidence</w:t>
            </w:r>
          </w:p>
        </w:tc>
        <w:tc>
          <w:tcPr>
            <w:tcW w:type="dxa" w:w="7060"/>
            <w:vAlign w:val="top"/>
            <w:tcMar>
              <w:top w:w="80" w:type="dxa"/>
              <w:start w:w="120" w:type="dxa"/>
              <w:bottom w:w="80" w:type="dxa"/>
              <w:end w:w="120" w:type="dxa"/>
            </w:tcMar>
          </w:tcPr>
          <w:p>
            <w:pPr>
              <w:spacing w:after="0"/>
            </w:pPr>
            <w:r>
              <w:rPr>
                <w:rFonts w:ascii="Calibri" w:hAnsi="Calibri"/>
                <w:b w:val="0"/>
                <w:i w:val="0"/>
                <w:color w:val="202124"/>
                <w:sz w:val="18"/>
              </w:rPr>
              <w:t>Authoritative source, page/section, and supporting passage</w:t>
            </w:r>
          </w:p>
        </w:tc>
      </w:tr>
      <w:tr>
        <w:tc>
          <w:tcPr>
            <w:tcW w:type="dxa" w:w="2300"/>
            <w:vAlign w:val="top"/>
            <w:tcMar>
              <w:top w:w="80" w:type="dxa"/>
              <w:start w:w="120" w:type="dxa"/>
              <w:bottom w:w="80" w:type="dxa"/>
              <w:end w:w="120" w:type="dxa"/>
            </w:tcMar>
          </w:tcPr>
          <w:p>
            <w:pPr>
              <w:spacing w:after="0"/>
            </w:pPr>
            <w:r>
              <w:rPr>
                <w:rFonts w:ascii="Calibri" w:hAnsi="Calibri"/>
                <w:b w:val="0"/>
                <w:i w:val="0"/>
                <w:color w:val="202124"/>
                <w:sz w:val="18"/>
              </w:rPr>
              <w:t>Expected behavior</w:t>
            </w:r>
          </w:p>
        </w:tc>
        <w:tc>
          <w:tcPr>
            <w:tcW w:type="dxa" w:w="7060"/>
            <w:vAlign w:val="top"/>
            <w:tcMar>
              <w:top w:w="80" w:type="dxa"/>
              <w:start w:w="120" w:type="dxa"/>
              <w:bottom w:w="80" w:type="dxa"/>
              <w:end w:w="120" w:type="dxa"/>
            </w:tcMar>
          </w:tcPr>
          <w:p>
            <w:pPr>
              <w:spacing w:after="0"/>
            </w:pPr>
            <w:r>
              <w:rPr>
                <w:rFonts w:ascii="Calibri" w:hAnsi="Calibri"/>
                <w:b w:val="0"/>
                <w:i w:val="0"/>
                <w:color w:val="202124"/>
                <w:sz w:val="18"/>
              </w:rPr>
              <w:t>Answer facts or explicit not-found response</w:t>
            </w:r>
          </w:p>
        </w:tc>
      </w:tr>
      <w:tr>
        <w:tc>
          <w:tcPr>
            <w:tcW w:type="dxa" w:w="2300"/>
            <w:vAlign w:val="top"/>
            <w:tcMar>
              <w:top w:w="80" w:type="dxa"/>
              <w:start w:w="120" w:type="dxa"/>
              <w:bottom w:w="80" w:type="dxa"/>
              <w:end w:w="120" w:type="dxa"/>
            </w:tcMar>
          </w:tcPr>
          <w:p>
            <w:pPr>
              <w:spacing w:after="0"/>
            </w:pPr>
            <w:r>
              <w:rPr>
                <w:rFonts w:ascii="Calibri" w:hAnsi="Calibri"/>
                <w:b w:val="0"/>
                <w:i w:val="0"/>
                <w:color w:val="202124"/>
                <w:sz w:val="18"/>
              </w:rPr>
              <w:t>Retrieval result</w:t>
            </w:r>
          </w:p>
        </w:tc>
        <w:tc>
          <w:tcPr>
            <w:tcW w:type="dxa" w:w="7060"/>
            <w:vAlign w:val="top"/>
            <w:tcMar>
              <w:top w:w="80" w:type="dxa"/>
              <w:start w:w="120" w:type="dxa"/>
              <w:bottom w:w="80" w:type="dxa"/>
              <w:end w:w="120" w:type="dxa"/>
            </w:tcMar>
          </w:tcPr>
          <w:p>
            <w:pPr>
              <w:spacing w:after="0"/>
            </w:pPr>
            <w:r>
              <w:rPr>
                <w:rFonts w:ascii="Calibri" w:hAnsi="Calibri"/>
                <w:b w:val="0"/>
                <w:i w:val="0"/>
                <w:color w:val="202124"/>
                <w:sz w:val="18"/>
              </w:rPr>
              <w:t>Top chunk IDs, scores, filters, and whether required evidence was retrieved</w:t>
            </w:r>
          </w:p>
        </w:tc>
      </w:tr>
      <w:tr>
        <w:tc>
          <w:tcPr>
            <w:tcW w:type="dxa" w:w="2300"/>
            <w:vAlign w:val="top"/>
            <w:tcMar>
              <w:top w:w="80" w:type="dxa"/>
              <w:start w:w="120" w:type="dxa"/>
              <w:bottom w:w="80" w:type="dxa"/>
              <w:end w:w="120" w:type="dxa"/>
            </w:tcMar>
          </w:tcPr>
          <w:p>
            <w:pPr>
              <w:spacing w:after="0"/>
            </w:pPr>
            <w:r>
              <w:rPr>
                <w:rFonts w:ascii="Calibri" w:hAnsi="Calibri"/>
                <w:b w:val="0"/>
                <w:i w:val="0"/>
                <w:color w:val="202124"/>
                <w:sz w:val="18"/>
              </w:rPr>
              <w:t>Answer result</w:t>
            </w:r>
          </w:p>
        </w:tc>
        <w:tc>
          <w:tcPr>
            <w:tcW w:type="dxa" w:w="7060"/>
            <w:vAlign w:val="top"/>
            <w:tcMar>
              <w:top w:w="80" w:type="dxa"/>
              <w:start w:w="120" w:type="dxa"/>
              <w:bottom w:w="80" w:type="dxa"/>
              <w:end w:w="120" w:type="dxa"/>
            </w:tcMar>
          </w:tcPr>
          <w:p>
            <w:pPr>
              <w:spacing w:after="0"/>
            </w:pPr>
            <w:r>
              <w:rPr>
                <w:rFonts w:ascii="Calibri" w:hAnsi="Calibri"/>
                <w:b w:val="0"/>
                <w:i w:val="0"/>
                <w:color w:val="202124"/>
                <w:sz w:val="18"/>
              </w:rPr>
              <w:t>Correctness, completeness, unsupported claims, and conflict handling</w:t>
            </w:r>
          </w:p>
        </w:tc>
      </w:tr>
      <w:tr>
        <w:tc>
          <w:tcPr>
            <w:tcW w:type="dxa" w:w="2300"/>
            <w:vAlign w:val="top"/>
            <w:tcMar>
              <w:top w:w="80" w:type="dxa"/>
              <w:start w:w="120" w:type="dxa"/>
              <w:bottom w:w="80" w:type="dxa"/>
              <w:end w:w="120" w:type="dxa"/>
            </w:tcMar>
          </w:tcPr>
          <w:p>
            <w:pPr>
              <w:spacing w:after="0"/>
            </w:pPr>
            <w:r>
              <w:rPr>
                <w:rFonts w:ascii="Calibri" w:hAnsi="Calibri"/>
                <w:b w:val="0"/>
                <w:i w:val="0"/>
                <w:color w:val="202124"/>
                <w:sz w:val="18"/>
              </w:rPr>
              <w:t>Citation result</w:t>
            </w:r>
          </w:p>
        </w:tc>
        <w:tc>
          <w:tcPr>
            <w:tcW w:type="dxa" w:w="7060"/>
            <w:vAlign w:val="top"/>
            <w:tcMar>
              <w:top w:w="80" w:type="dxa"/>
              <w:start w:w="120" w:type="dxa"/>
              <w:bottom w:w="80" w:type="dxa"/>
              <w:end w:w="120" w:type="dxa"/>
            </w:tcMar>
          </w:tcPr>
          <w:p>
            <w:pPr>
              <w:spacing w:after="0"/>
            </w:pPr>
            <w:r>
              <w:rPr>
                <w:rFonts w:ascii="Calibri" w:hAnsi="Calibri"/>
                <w:b w:val="0"/>
                <w:i w:val="0"/>
                <w:color w:val="202124"/>
                <w:sz w:val="18"/>
              </w:rPr>
              <w:t>Citation presence, validity, and whether each passage supports its claim</w:t>
            </w:r>
          </w:p>
        </w:tc>
      </w:tr>
      <w:tr>
        <w:tc>
          <w:tcPr>
            <w:tcW w:type="dxa" w:w="2300"/>
            <w:vAlign w:val="top"/>
            <w:tcMar>
              <w:top w:w="80" w:type="dxa"/>
              <w:start w:w="120" w:type="dxa"/>
              <w:bottom w:w="80" w:type="dxa"/>
              <w:end w:w="120" w:type="dxa"/>
            </w:tcMar>
          </w:tcPr>
          <w:p>
            <w:pPr>
              <w:spacing w:after="0"/>
            </w:pPr>
            <w:r>
              <w:rPr>
                <w:rFonts w:ascii="Calibri" w:hAnsi="Calibri"/>
                <w:b w:val="0"/>
                <w:i w:val="0"/>
                <w:color w:val="202124"/>
                <w:sz w:val="18"/>
              </w:rPr>
              <w:t>Performance</w:t>
            </w:r>
          </w:p>
        </w:tc>
        <w:tc>
          <w:tcPr>
            <w:tcW w:type="dxa" w:w="7060"/>
            <w:vAlign w:val="top"/>
            <w:tcMar>
              <w:top w:w="80" w:type="dxa"/>
              <w:start w:w="120" w:type="dxa"/>
              <w:bottom w:w="80" w:type="dxa"/>
              <w:end w:w="120" w:type="dxa"/>
            </w:tcMar>
          </w:tcPr>
          <w:p>
            <w:pPr>
              <w:spacing w:after="0"/>
            </w:pPr>
            <w:r>
              <w:rPr>
                <w:rFonts w:ascii="Calibri" w:hAnsi="Calibri"/>
                <w:b w:val="0"/>
                <w:i w:val="0"/>
                <w:color w:val="202124"/>
                <w:sz w:val="18"/>
              </w:rPr>
              <w:t>Retrieval time, first-token time, total time, and tokens/second</w:t>
            </w:r>
          </w:p>
        </w:tc>
      </w:tr>
      <w:tr>
        <w:tc>
          <w:tcPr>
            <w:tcW w:type="dxa" w:w="2300"/>
            <w:vAlign w:val="top"/>
            <w:tcMar>
              <w:top w:w="80" w:type="dxa"/>
              <w:start w:w="120" w:type="dxa"/>
              <w:bottom w:w="80" w:type="dxa"/>
              <w:end w:w="120" w:type="dxa"/>
            </w:tcMar>
          </w:tcPr>
          <w:p>
            <w:pPr>
              <w:spacing w:after="0"/>
            </w:pPr>
            <w:r>
              <w:rPr>
                <w:rFonts w:ascii="Calibri" w:hAnsi="Calibri"/>
                <w:b w:val="0"/>
                <w:i w:val="0"/>
                <w:color w:val="202124"/>
                <w:sz w:val="18"/>
              </w:rPr>
              <w:t>Outcome</w:t>
            </w:r>
          </w:p>
        </w:tc>
        <w:tc>
          <w:tcPr>
            <w:tcW w:type="dxa" w:w="7060"/>
            <w:vAlign w:val="top"/>
            <w:tcMar>
              <w:top w:w="80" w:type="dxa"/>
              <w:start w:w="120" w:type="dxa"/>
              <w:bottom w:w="80" w:type="dxa"/>
              <w:end w:w="120" w:type="dxa"/>
            </w:tcMar>
          </w:tcPr>
          <w:p>
            <w:pPr>
              <w:spacing w:after="0"/>
            </w:pPr>
            <w:r>
              <w:rPr>
                <w:rFonts w:ascii="Calibri" w:hAnsi="Calibri"/>
                <w:b w:val="0"/>
                <w:i w:val="0"/>
                <w:color w:val="202124"/>
                <w:sz w:val="18"/>
              </w:rPr>
              <w:t>Pass/fail, defect category, owner, and corrective action</w:t>
            </w:r>
          </w:p>
        </w:tc>
      </w:tr>
    </w:tbl>
    <w:p>
      <w:pPr>
        <w:spacing w:after="0"/>
      </w:pPr>
    </w:p>
    <w:p>
      <w:pPr>
        <w:pStyle w:val="Heading1"/>
      </w:pPr>
      <w:r>
        <w:t>Minimum acceptance criteria</w:t>
      </w:r>
    </w:p>
    <w:p>
      <w:pPr>
        <w:numPr>
          <w:ilvl w:val="0"/>
          <w:numId w:val="10"/>
        </w:numPr>
        <w:spacing w:after="160" w:line="300" w:lineRule="auto"/>
      </w:pPr>
      <w:r>
        <w:t>The system retrieves the required supporting passage for agreed known-answer questions.</w:t>
      </w:r>
    </w:p>
    <w:p>
      <w:pPr>
        <w:numPr>
          <w:ilvl w:val="0"/>
          <w:numId w:val="10"/>
        </w:numPr>
        <w:spacing w:after="160" w:line="300" w:lineRule="auto"/>
      </w:pPr>
      <w:r>
        <w:t>Answers contain no unsupported factual claims in the acceptance set.</w:t>
      </w:r>
    </w:p>
    <w:p>
      <w:pPr>
        <w:numPr>
          <w:ilvl w:val="0"/>
          <w:numId w:val="10"/>
        </w:numPr>
        <w:spacing w:after="160" w:line="300" w:lineRule="auto"/>
      </w:pPr>
      <w:r>
        <w:t>Every citation maps to a retrieved chunk and supports the adjacent claim.</w:t>
      </w:r>
    </w:p>
    <w:p>
      <w:pPr>
        <w:numPr>
          <w:ilvl w:val="0"/>
          <w:numId w:val="10"/>
        </w:numPr>
        <w:spacing w:after="160" w:line="300" w:lineRule="auto"/>
      </w:pPr>
      <w:r>
        <w:t>Not-found questions produce an explicit not-found response rather than a plausible guess.</w:t>
      </w:r>
    </w:p>
    <w:p>
      <w:pPr>
        <w:numPr>
          <w:ilvl w:val="0"/>
          <w:numId w:val="10"/>
        </w:numPr>
        <w:spacing w:after="160" w:line="300" w:lineRule="auto"/>
      </w:pPr>
      <w:r>
        <w:t>Unauthorized users cannot retrieve protected chunks, including through indirect or adversarial prompts.</w:t>
      </w:r>
    </w:p>
    <w:p>
      <w:pPr>
        <w:numPr>
          <w:ilvl w:val="0"/>
          <w:numId w:val="10"/>
        </w:numPr>
        <w:spacing w:after="160" w:line="300" w:lineRule="auto"/>
      </w:pPr>
      <w:r>
        <w:t>Document deletion and replacement remove obsolete chunks from retrieval.</w:t>
      </w:r>
    </w:p>
    <w:p>
      <w:pPr>
        <w:numPr>
          <w:ilvl w:val="0"/>
          <w:numId w:val="10"/>
        </w:numPr>
        <w:spacing w:after="160" w:line="300" w:lineRule="auto"/>
      </w:pPr>
      <w:r>
        <w:t>Latency and memory remain within agreed limits under measured concurrent load.</w:t>
      </w:r>
    </w:p>
    <w:p>
      <w:pPr>
        <w:numPr>
          <w:ilvl w:val="0"/>
          <w:numId w:val="10"/>
        </w:numPr>
        <w:spacing w:after="160" w:line="300" w:lineRule="auto"/>
      </w:pPr>
      <w:r>
        <w:t>Logs support incident review without exposing unnecessary document content or secrets.</w:t>
      </w:r>
    </w:p>
    <w:p>
      <w:pPr>
        <w:pStyle w:val="Heading1"/>
      </w:pPr>
      <w:r>
        <w:t>Information still needed before final sizing</w:t>
      </w:r>
    </w:p>
    <w:p>
      <w:pPr>
        <w:numPr>
          <w:ilvl w:val="0"/>
          <w:numId w:val="10"/>
        </w:numPr>
        <w:spacing w:after="160" w:line="300" w:lineRule="auto"/>
      </w:pPr>
      <w:r>
        <w:t>Operating system, CPU model/core count, total RAM, GPU model, and VRAM.</w:t>
      </w:r>
    </w:p>
    <w:p>
      <w:pPr>
        <w:numPr>
          <w:ilvl w:val="0"/>
          <w:numId w:val="10"/>
        </w:numPr>
        <w:spacing w:after="160" w:line="300" w:lineRule="auto"/>
      </w:pPr>
      <w:r>
        <w:t>Number of documents, total extracted text size, languages, and scanned-PDF percentage.</w:t>
      </w:r>
    </w:p>
    <w:p>
      <w:pPr>
        <w:numPr>
          <w:ilvl w:val="0"/>
          <w:numId w:val="10"/>
        </w:numPr>
        <w:spacing w:after="160" w:line="300" w:lineRule="auto"/>
      </w:pPr>
      <w:r>
        <w:t>Expected simultaneous users, requests per minute, typical answer length, and latency target.</w:t>
      </w:r>
    </w:p>
    <w:p>
      <w:pPr>
        <w:numPr>
          <w:ilvl w:val="0"/>
          <w:numId w:val="10"/>
        </w:numPr>
        <w:spacing w:after="160" w:line="300" w:lineRule="auto"/>
      </w:pPr>
      <w:r>
        <w:t>Whether the corpus contains confidential or regulated information.</w:t>
      </w:r>
    </w:p>
    <w:p>
      <w:pPr>
        <w:numPr>
          <w:ilvl w:val="0"/>
          <w:numId w:val="10"/>
        </w:numPr>
        <w:spacing w:after="160" w:line="300" w:lineRule="auto"/>
      </w:pPr>
      <w:r>
        <w:t>Required authentication provider, user roles, and document-level access rules.</w:t>
      </w:r>
    </w:p>
    <w:p>
      <w:pPr>
        <w:numPr>
          <w:ilvl w:val="0"/>
          <w:numId w:val="10"/>
        </w:numPr>
        <w:spacing w:after="160" w:line="300" w:lineRule="auto"/>
      </w:pPr>
      <w:r>
        <w:t>Availability, backup, recovery-time, retention, deletion, and audit requirements.</w:t>
      </w:r>
    </w:p>
    <w:p>
      <w:pPr>
        <w:pStyle w:val="Heading1"/>
        <w:pageBreakBefore/>
      </w:pPr>
      <w:r>
        <w:t>Sources</w:t>
      </w:r>
    </w:p>
    <w:p>
      <w:pPr>
        <w:spacing w:after="160"/>
      </w:pPr>
      <w:r>
        <w:rPr>
          <w:rFonts w:ascii="Calibri" w:hAnsi="Calibri"/>
          <w:b w:val="0"/>
          <w:i w:val="0"/>
          <w:color w:val="59636E"/>
          <w:sz w:val="20"/>
        </w:rPr>
        <w:t>Official references used for this guide. Accessed 2 September 2026.</w:t>
      </w:r>
    </w:p>
    <w:p>
      <w:pPr>
        <w:spacing w:after="60"/>
        <w:ind w:left="259"/>
      </w:pPr>
      <w:hyperlink r:id="rId11">
        <w:r>
          <w:rPr>
            <w:color w:val="2E74B5"/>
            <w:u w:val="single"/>
            <w:sz w:val="18"/>
            <w:szCs w:val="18"/>
          </w:rPr>
          <w:t>Ollama: Embeddings capability</w:t>
        </w:r>
      </w:hyperlink>
    </w:p>
    <w:p>
      <w:pPr>
        <w:spacing w:after="60"/>
        <w:ind w:left="259"/>
      </w:pPr>
      <w:hyperlink r:id="rId12">
        <w:r>
          <w:rPr>
            <w:color w:val="2E74B5"/>
            <w:u w:val="single"/>
            <w:sz w:val="18"/>
            <w:szCs w:val="18"/>
          </w:rPr>
          <w:t>Ollama API: Generate embeddings</w:t>
        </w:r>
      </w:hyperlink>
    </w:p>
    <w:p>
      <w:pPr>
        <w:spacing w:after="60"/>
        <w:ind w:left="259"/>
      </w:pPr>
      <w:hyperlink r:id="rId13">
        <w:r>
          <w:rPr>
            <w:color w:val="2E74B5"/>
            <w:u w:val="single"/>
            <w:sz w:val="18"/>
            <w:szCs w:val="18"/>
          </w:rPr>
          <w:t>Ollama API: Generate a chat message</w:t>
        </w:r>
      </w:hyperlink>
    </w:p>
    <w:p>
      <w:pPr>
        <w:spacing w:after="60"/>
        <w:ind w:left="259"/>
      </w:pPr>
      <w:hyperlink r:id="rId14">
        <w:r>
          <w:rPr>
            <w:color w:val="2E74B5"/>
            <w:u w:val="single"/>
            <w:sz w:val="18"/>
            <w:szCs w:val="18"/>
          </w:rPr>
          <w:t>Ollama: Context length</w:t>
        </w:r>
      </w:hyperlink>
    </w:p>
    <w:p>
      <w:pPr>
        <w:spacing w:after="60"/>
        <w:ind w:left="259"/>
      </w:pPr>
      <w:hyperlink r:id="rId15">
        <w:r>
          <w:rPr>
            <w:color w:val="2E74B5"/>
            <w:u w:val="single"/>
            <w:sz w:val="18"/>
            <w:szCs w:val="18"/>
          </w:rPr>
          <w:t>Ollama: Linux installation</w:t>
        </w:r>
      </w:hyperlink>
    </w:p>
    <w:p>
      <w:pPr>
        <w:spacing w:after="60"/>
        <w:ind w:left="259"/>
      </w:pPr>
      <w:hyperlink r:id="rId16">
        <w:r>
          <w:rPr>
            <w:color w:val="2E74B5"/>
            <w:u w:val="single"/>
            <w:sz w:val="18"/>
            <w:szCs w:val="18"/>
          </w:rPr>
          <w:t>Ollama model library: Qwen3 8B</w:t>
        </w:r>
      </w:hyperlink>
    </w:p>
    <w:p>
      <w:pPr>
        <w:spacing w:after="60"/>
        <w:ind w:left="259"/>
      </w:pPr>
      <w:hyperlink r:id="rId17">
        <w:r>
          <w:rPr>
            <w:color w:val="2E74B5"/>
            <w:u w:val="single"/>
            <w:sz w:val="18"/>
            <w:szCs w:val="18"/>
          </w:rPr>
          <w:t>Ollama model library: EmbeddingGemma</w:t>
        </w:r>
      </w:hyperlink>
    </w:p>
    <w:p>
      <w:pPr>
        <w:spacing w:after="60"/>
        <w:ind w:left="259"/>
      </w:pPr>
      <w:hyperlink r:id="rId18">
        <w:r>
          <w:rPr>
            <w:color w:val="2E74B5"/>
            <w:u w:val="single"/>
            <w:sz w:val="18"/>
            <w:szCs w:val="18"/>
          </w:rPr>
          <w:t>Google NotebookLM Help: Add or discover sources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6E"/>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9636E"/>
        <w:sz w:val="18"/>
      </w:rPr>
      <w:t>NotebookLM Source Pack for an Ollama RAG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2B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963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shd w:fill="F2F4F7"/>
    </w:pPr>
    <w:rPr>
      <w:rFonts w:ascii="Consolas" w:hAnsi="Consolas"/>
      <w:sz w:val="15"/>
    </w:rPr>
  </w:style>
  <w:style w:type="paragraph" w:customStyle="1" w:styleId="Note">
    <w:name w:val="Note"/>
    <w:pPr>
      <w:spacing w:before="120" w:after="160" w:line="276" w:lineRule="auto"/>
      <w:ind w:left="259" w:right="259"/>
      <w:shd w:fill="F4F6F9"/>
    </w:pPr>
    <w:rPr>
      <w:rFonts w:ascii="Calibri" w:hAnsi="Calibri"/>
      <w:color w:val="172B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ollama.com/capabilities/embeddings" TargetMode="External"/><Relationship Id="rId12" Type="http://schemas.openxmlformats.org/officeDocument/2006/relationships/hyperlink" Target="https://docs.ollama.com/api/embed" TargetMode="External"/><Relationship Id="rId13" Type="http://schemas.openxmlformats.org/officeDocument/2006/relationships/hyperlink" Target="https://docs.ollama.com/api/chat" TargetMode="External"/><Relationship Id="rId14" Type="http://schemas.openxmlformats.org/officeDocument/2006/relationships/hyperlink" Target="https://docs.ollama.com/context-length" TargetMode="External"/><Relationship Id="rId15" Type="http://schemas.openxmlformats.org/officeDocument/2006/relationships/hyperlink" Target="https://docs.ollama.com/linux" TargetMode="External"/><Relationship Id="rId16" Type="http://schemas.openxmlformats.org/officeDocument/2006/relationships/hyperlink" Target="https://ollama.com/library/qwen3:8b" TargetMode="External"/><Relationship Id="rId17" Type="http://schemas.openxmlformats.org/officeDocument/2006/relationships/hyperlink" Target="https://ollama.com/library/embeddinggemma" TargetMode="External"/><Relationship Id="rId18" Type="http://schemas.openxmlformats.org/officeDocument/2006/relationships/hyperlink" Target="https://support.google.com/notebooklm/answer/162152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NotebookLM Source Pack for an Ollama RAG Project</dc:title>
  <dc:subject>Ollama-based retrieval-augmented generation</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