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410"/>
        <w:rPr>
          <w:rFonts w:ascii="Times New Roman"/>
          <w:sz w:val="20"/>
        </w:rPr>
      </w:pPr>
      <w:r>
        <w:rPr>
          <w:rFonts w:ascii="Times New Roman"/>
          <w:sz w:val="20"/>
        </w:rPr>
        <w:drawing>
          <wp:inline distT="0" distB="0" distL="0" distR="0">
            <wp:extent cx="1635473" cy="1426463"/>
            <wp:effectExtent l="0" t="0" r="0" b="0"/>
            <wp:docPr id="1" name="image1.jpeg" descr="CORRECT GK CREST"/>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635473" cy="1426463"/>
                    </a:xfrm>
                    <a:prstGeom prst="rect">
                      <a:avLst/>
                    </a:prstGeom>
                  </pic:spPr>
                </pic:pic>
              </a:graphicData>
            </a:graphic>
          </wp:inline>
        </w:drawing>
      </w:r>
      <w:r>
        <w:rPr>
          <w:rFonts w:ascii="Times New Roman"/>
          <w:sz w:val="20"/>
        </w:rPr>
      </w:r>
    </w:p>
    <w:p>
      <w:pPr>
        <w:pStyle w:val="BodyText"/>
        <w:spacing w:before="1"/>
        <w:rPr>
          <w:rFonts w:ascii="Times New Roman"/>
          <w:sz w:val="9"/>
        </w:rPr>
      </w:pPr>
    </w:p>
    <w:p>
      <w:pPr>
        <w:spacing w:before="99"/>
        <w:ind w:left="70" w:right="86" w:firstLine="0"/>
        <w:jc w:val="center"/>
        <w:rPr>
          <w:b/>
          <w:sz w:val="32"/>
        </w:rPr>
      </w:pPr>
      <w:r>
        <w:rPr>
          <w:b/>
          <w:sz w:val="32"/>
        </w:rPr>
        <w:t>REPUBLIC OF KENYA</w:t>
      </w:r>
    </w:p>
    <w:p>
      <w:pPr>
        <w:pStyle w:val="Heading1"/>
        <w:spacing w:before="181"/>
        <w:ind w:left="70" w:right="86"/>
      </w:pPr>
      <w:r>
        <w:rPr/>
        <w:t>IN THE SUPREME COURT OF KENYA</w:t>
      </w:r>
    </w:p>
    <w:p>
      <w:pPr>
        <w:spacing w:before="150"/>
        <w:ind w:left="70" w:right="71" w:firstLine="0"/>
        <w:jc w:val="center"/>
        <w:rPr>
          <w:i/>
          <w:sz w:val="24"/>
        </w:rPr>
      </w:pPr>
      <w:r>
        <w:rPr/>
        <w:drawing>
          <wp:anchor distT="0" distB="0" distL="0" distR="0" allowOverlap="1" layoutInCell="1" locked="0" behindDoc="1" simplePos="0" relativeHeight="251486208">
            <wp:simplePos x="0" y="0"/>
            <wp:positionH relativeFrom="page">
              <wp:posOffset>1936278</wp:posOffset>
            </wp:positionH>
            <wp:positionV relativeFrom="paragraph">
              <wp:posOffset>225093</wp:posOffset>
            </wp:positionV>
            <wp:extent cx="4159045" cy="4436566"/>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4159045" cy="4436566"/>
                    </a:xfrm>
                    <a:prstGeom prst="rect">
                      <a:avLst/>
                    </a:prstGeom>
                  </pic:spPr>
                </pic:pic>
              </a:graphicData>
            </a:graphic>
          </wp:anchor>
        </w:drawing>
      </w:r>
      <w:r>
        <w:rPr>
          <w:i/>
          <w:sz w:val="24"/>
        </w:rPr>
        <w:t>(Coram: Mwilu; DCJ &amp;VP, Ibrahim, Wanjala, Njoki &amp; Lenaola SCJJ)</w:t>
      </w:r>
    </w:p>
    <w:p>
      <w:pPr>
        <w:pStyle w:val="BodyText"/>
        <w:spacing w:before="11"/>
        <w:rPr>
          <w:i/>
          <w:sz w:val="25"/>
        </w:rPr>
      </w:pPr>
    </w:p>
    <w:p>
      <w:pPr>
        <w:pStyle w:val="Heading1"/>
        <w:ind w:left="70" w:right="77"/>
      </w:pPr>
      <w:r>
        <w:rPr/>
        <w:t>APPLICATION NO. E026 OF 2024</w:t>
      </w:r>
    </w:p>
    <w:p>
      <w:pPr>
        <w:spacing w:before="149"/>
        <w:ind w:left="70" w:right="13" w:firstLine="0"/>
        <w:jc w:val="center"/>
        <w:rPr>
          <w:b/>
          <w:sz w:val="26"/>
        </w:rPr>
      </w:pPr>
      <w:r>
        <w:rPr>
          <w:b/>
          <w:sz w:val="26"/>
        </w:rPr>
        <w:t>-BETWEEN-</w:t>
      </w:r>
    </w:p>
    <w:p>
      <w:pPr>
        <w:tabs>
          <w:tab w:pos="7453" w:val="left" w:leader="dot"/>
        </w:tabs>
        <w:spacing w:before="146"/>
        <w:ind w:left="0" w:right="111" w:firstLine="0"/>
        <w:jc w:val="center"/>
        <w:rPr>
          <w:b/>
          <w:sz w:val="26"/>
        </w:rPr>
      </w:pPr>
      <w:r>
        <w:rPr>
          <w:b/>
          <w:sz w:val="26"/>
        </w:rPr>
        <w:t>MOMBASA</w:t>
      </w:r>
      <w:r>
        <w:rPr>
          <w:b/>
          <w:spacing w:val="-6"/>
          <w:sz w:val="26"/>
        </w:rPr>
        <w:t> </w:t>
      </w:r>
      <w:r>
        <w:rPr>
          <w:b/>
          <w:sz w:val="26"/>
        </w:rPr>
        <w:t>CEMENT</w:t>
      </w:r>
      <w:r>
        <w:rPr>
          <w:b/>
          <w:spacing w:val="-2"/>
          <w:sz w:val="26"/>
        </w:rPr>
        <w:t> </w:t>
      </w:r>
      <w:r>
        <w:rPr>
          <w:b/>
          <w:sz w:val="26"/>
        </w:rPr>
        <w:t>LIMITED…</w:t>
        <w:tab/>
        <w:t>APPLICANT</w:t>
      </w:r>
    </w:p>
    <w:p>
      <w:pPr>
        <w:pStyle w:val="BodyText"/>
        <w:spacing w:before="7"/>
        <w:rPr>
          <w:b/>
          <w:sz w:val="23"/>
        </w:rPr>
      </w:pPr>
    </w:p>
    <w:p>
      <w:pPr>
        <w:spacing w:before="0"/>
        <w:ind w:left="70" w:right="69" w:firstLine="0"/>
        <w:jc w:val="center"/>
        <w:rPr>
          <w:b/>
          <w:sz w:val="26"/>
        </w:rPr>
      </w:pPr>
      <w:r>
        <w:rPr>
          <w:b/>
          <w:sz w:val="26"/>
        </w:rPr>
        <w:t>VERSUS</w:t>
      </w:r>
    </w:p>
    <w:p>
      <w:pPr>
        <w:tabs>
          <w:tab w:pos="6814" w:val="left" w:leader="dot"/>
        </w:tabs>
        <w:spacing w:before="149"/>
        <w:ind w:left="0" w:right="6" w:firstLine="0"/>
        <w:jc w:val="center"/>
        <w:rPr>
          <w:b/>
          <w:sz w:val="26"/>
        </w:rPr>
      </w:pPr>
      <w:r>
        <w:rPr>
          <w:b/>
          <w:sz w:val="26"/>
        </w:rPr>
        <w:t>HARISH</w:t>
      </w:r>
      <w:r>
        <w:rPr>
          <w:b/>
          <w:spacing w:val="-3"/>
          <w:sz w:val="26"/>
        </w:rPr>
        <w:t> </w:t>
      </w:r>
      <w:r>
        <w:rPr>
          <w:b/>
          <w:sz w:val="26"/>
        </w:rPr>
        <w:t>RAMJI</w:t>
        <w:tab/>
        <w:t>1</w:t>
      </w:r>
      <w:r>
        <w:rPr>
          <w:b/>
          <w:position w:val="7"/>
          <w:sz w:val="17"/>
        </w:rPr>
        <w:t>ST</w:t>
      </w:r>
      <w:r>
        <w:rPr>
          <w:b/>
          <w:spacing w:val="-5"/>
          <w:position w:val="7"/>
          <w:sz w:val="17"/>
        </w:rPr>
        <w:t> </w:t>
      </w:r>
      <w:r>
        <w:rPr>
          <w:b/>
          <w:sz w:val="26"/>
        </w:rPr>
        <w:t>RESPONDENT</w:t>
      </w:r>
    </w:p>
    <w:p>
      <w:pPr>
        <w:tabs>
          <w:tab w:pos="6684" w:val="left" w:leader="dot"/>
        </w:tabs>
        <w:spacing w:before="146"/>
        <w:ind w:left="0" w:right="24" w:firstLine="0"/>
        <w:jc w:val="center"/>
        <w:rPr>
          <w:b/>
          <w:sz w:val="26"/>
        </w:rPr>
      </w:pPr>
      <w:r>
        <w:rPr>
          <w:b/>
          <w:sz w:val="26"/>
        </w:rPr>
        <w:t>BHARAT</w:t>
      </w:r>
      <w:r>
        <w:rPr>
          <w:b/>
          <w:spacing w:val="-3"/>
          <w:sz w:val="26"/>
        </w:rPr>
        <w:t> </w:t>
      </w:r>
      <w:r>
        <w:rPr>
          <w:b/>
          <w:sz w:val="26"/>
        </w:rPr>
        <w:t>RAMJI</w:t>
        <w:tab/>
        <w:t>2</w:t>
      </w:r>
      <w:r>
        <w:rPr>
          <w:b/>
          <w:position w:val="7"/>
          <w:sz w:val="17"/>
        </w:rPr>
        <w:t>ND</w:t>
      </w:r>
      <w:r>
        <w:rPr>
          <w:b/>
          <w:spacing w:val="13"/>
          <w:position w:val="7"/>
          <w:sz w:val="17"/>
        </w:rPr>
        <w:t> </w:t>
      </w:r>
      <w:r>
        <w:rPr>
          <w:b/>
          <w:sz w:val="26"/>
        </w:rPr>
        <w:t>RESPONDENT</w:t>
      </w:r>
    </w:p>
    <w:p>
      <w:pPr>
        <w:tabs>
          <w:tab w:pos="6692" w:val="left" w:leader="dot"/>
        </w:tabs>
        <w:spacing w:before="149"/>
        <w:ind w:left="0" w:right="26" w:firstLine="0"/>
        <w:jc w:val="center"/>
        <w:rPr>
          <w:b/>
          <w:sz w:val="26"/>
        </w:rPr>
      </w:pPr>
      <w:r>
        <w:rPr>
          <w:b/>
          <w:sz w:val="26"/>
        </w:rPr>
        <w:t>ASHVIN</w:t>
      </w:r>
      <w:r>
        <w:rPr>
          <w:b/>
          <w:spacing w:val="-3"/>
          <w:sz w:val="26"/>
        </w:rPr>
        <w:t> </w:t>
      </w:r>
      <w:r>
        <w:rPr>
          <w:b/>
          <w:sz w:val="26"/>
        </w:rPr>
        <w:t>RAMJI</w:t>
        <w:tab/>
        <w:t>3</w:t>
      </w:r>
      <w:r>
        <w:rPr>
          <w:b/>
          <w:position w:val="7"/>
          <w:sz w:val="17"/>
        </w:rPr>
        <w:t>RD</w:t>
      </w:r>
      <w:r>
        <w:rPr>
          <w:b/>
          <w:spacing w:val="12"/>
          <w:position w:val="7"/>
          <w:sz w:val="17"/>
        </w:rPr>
        <w:t> </w:t>
      </w:r>
      <w:r>
        <w:rPr>
          <w:b/>
          <w:sz w:val="26"/>
        </w:rPr>
        <w:t>RESPONDENT</w:t>
      </w:r>
    </w:p>
    <w:p>
      <w:pPr>
        <w:tabs>
          <w:tab w:pos="6689" w:val="left" w:leader="dot"/>
        </w:tabs>
        <w:spacing w:before="148"/>
        <w:ind w:left="0" w:right="28" w:firstLine="0"/>
        <w:jc w:val="center"/>
        <w:rPr>
          <w:b/>
          <w:sz w:val="26"/>
        </w:rPr>
      </w:pPr>
      <w:r>
        <w:rPr>
          <w:b/>
          <w:sz w:val="26"/>
        </w:rPr>
        <w:t>NATIONAL SOCIAL</w:t>
      </w:r>
      <w:r>
        <w:rPr>
          <w:b/>
          <w:spacing w:val="-9"/>
          <w:sz w:val="26"/>
        </w:rPr>
        <w:t> </w:t>
      </w:r>
      <w:r>
        <w:rPr>
          <w:b/>
          <w:sz w:val="26"/>
        </w:rPr>
        <w:t>SECURITY FUND…</w:t>
        <w:tab/>
        <w:t>4</w:t>
      </w:r>
      <w:r>
        <w:rPr>
          <w:b/>
          <w:position w:val="7"/>
          <w:sz w:val="17"/>
        </w:rPr>
        <w:t>TH</w:t>
      </w:r>
      <w:r>
        <w:rPr>
          <w:b/>
          <w:spacing w:val="12"/>
          <w:position w:val="7"/>
          <w:sz w:val="17"/>
        </w:rPr>
        <w:t> </w:t>
      </w:r>
      <w:r>
        <w:rPr>
          <w:b/>
          <w:sz w:val="26"/>
        </w:rPr>
        <w:t>RESPONDENT</w:t>
      </w:r>
    </w:p>
    <w:p>
      <w:pPr>
        <w:tabs>
          <w:tab w:pos="9014" w:val="left" w:leader="none"/>
        </w:tabs>
        <w:spacing w:before="148"/>
        <w:ind w:left="70" w:right="0" w:firstLine="0"/>
        <w:jc w:val="center"/>
        <w:rPr>
          <w:b/>
          <w:sz w:val="24"/>
        </w:rPr>
      </w:pPr>
      <w:r>
        <w:rPr>
          <w:b/>
          <w:sz w:val="24"/>
          <w:u w:val="single"/>
        </w:rPr>
        <w:t> </w:t>
        <w:tab/>
      </w:r>
      <w:r>
        <w:rPr>
          <w:b/>
          <w:sz w:val="24"/>
        </w:rPr>
        <w:t>_</w:t>
      </w:r>
    </w:p>
    <w:p>
      <w:pPr>
        <w:spacing w:line="276" w:lineRule="auto" w:before="138"/>
        <w:ind w:left="314" w:right="148" w:firstLine="0"/>
        <w:jc w:val="center"/>
        <w:rPr>
          <w:i/>
          <w:sz w:val="24"/>
        </w:rPr>
      </w:pPr>
      <w:r>
        <w:rPr>
          <w:i/>
          <w:sz w:val="24"/>
        </w:rPr>
        <w:t>(An application for certification and leave to appeal to the Supreme Court of Kenya </w:t>
      </w:r>
      <w:r>
        <w:rPr>
          <w:i/>
          <w:sz w:val="24"/>
        </w:rPr>
        <w:t>after review of the Ruling of the Court of Appeal delivered on the 20</w:t>
      </w:r>
      <w:r>
        <w:rPr>
          <w:i/>
          <w:position w:val="6"/>
          <w:sz w:val="16"/>
        </w:rPr>
        <w:t>th </w:t>
      </w:r>
      <w:r>
        <w:rPr>
          <w:i/>
          <w:sz w:val="24"/>
        </w:rPr>
        <w:t>September 2024 at Nairobi (Kiage, M’Inoti &amp; Tuiyot JJ.A) declining to grant certification to the Applicant to file a Petition and Appeal in the Supreme Court on grounds of matters of general public importance on a substantial miscarriage of justice in Nairobi Court of Appeal Civil Application No. SUP E001 of 2024)</w:t>
      </w:r>
    </w:p>
    <w:p>
      <w:pPr>
        <w:pStyle w:val="BodyText"/>
        <w:spacing w:before="6"/>
        <w:rPr>
          <w:i/>
          <w:sz w:val="17"/>
        </w:rPr>
      </w:pPr>
      <w:r>
        <w:rPr/>
        <w:pict>
          <v:group style="position:absolute;margin-left:75.024002pt;margin-top:11.963831pt;width:455.45pt;height:.75pt;mso-position-horizontal-relative:page;mso-position-vertical-relative:paragraph;z-index:-251658240;mso-wrap-distance-left:0;mso-wrap-distance-right:0" coordorigin="1500,239" coordsize="9109,15">
            <v:line style="position:absolute" from="1500,246" to="3018,246" stroked="true" strokeweight=".72pt" strokecolor="#000000">
              <v:stroke dashstyle="solid"/>
            </v:line>
            <v:line style="position:absolute" from="3020,246" to="3524,246" stroked="true" strokeweight=".72pt" strokecolor="#000000">
              <v:stroke dashstyle="solid"/>
            </v:line>
            <v:line style="position:absolute" from="3526,246" to="10609,246" stroked="true" strokeweight=".72pt" strokecolor="#000000">
              <v:stroke dashstyle="solid"/>
            </v:line>
            <w10:wrap type="topAndBottom"/>
          </v:group>
        </w:pict>
      </w:r>
    </w:p>
    <w:p>
      <w:pPr>
        <w:pStyle w:val="BodyText"/>
        <w:spacing w:before="1"/>
        <w:rPr>
          <w:i/>
          <w:sz w:val="12"/>
        </w:rPr>
      </w:pPr>
    </w:p>
    <w:p>
      <w:pPr>
        <w:spacing w:before="100"/>
        <w:ind w:left="100" w:right="0" w:firstLine="0"/>
        <w:jc w:val="left"/>
        <w:rPr>
          <w:sz w:val="24"/>
        </w:rPr>
      </w:pPr>
      <w:r>
        <w:rPr>
          <w:sz w:val="24"/>
          <w:u w:val="single"/>
        </w:rPr>
        <w:t>Representation:</w:t>
      </w:r>
    </w:p>
    <w:p>
      <w:pPr>
        <w:spacing w:before="135"/>
        <w:ind w:left="100" w:right="0" w:firstLine="0"/>
        <w:jc w:val="left"/>
        <w:rPr>
          <w:sz w:val="24"/>
        </w:rPr>
      </w:pPr>
      <w:r>
        <w:rPr>
          <w:sz w:val="24"/>
        </w:rPr>
        <w:t>Mr. Sanjeev Khagram for the Applicant</w:t>
      </w:r>
    </w:p>
    <w:p>
      <w:pPr>
        <w:spacing w:before="2"/>
        <w:ind w:left="100" w:right="0" w:firstLine="0"/>
        <w:jc w:val="left"/>
        <w:rPr>
          <w:i/>
          <w:sz w:val="24"/>
        </w:rPr>
      </w:pPr>
      <w:r>
        <w:rPr>
          <w:i/>
          <w:sz w:val="24"/>
        </w:rPr>
        <w:t>(A.B. Patel &amp; Patel LLP Advocates)</w:t>
      </w:r>
    </w:p>
    <w:p>
      <w:pPr>
        <w:spacing w:before="159"/>
        <w:ind w:left="100" w:right="0" w:firstLine="0"/>
        <w:jc w:val="left"/>
        <w:rPr>
          <w:sz w:val="24"/>
        </w:rPr>
      </w:pPr>
      <w:r>
        <w:rPr>
          <w:sz w:val="24"/>
        </w:rPr>
        <w:t>Mr. Issa Mansur for the 1</w:t>
      </w:r>
      <w:r>
        <w:rPr>
          <w:position w:val="6"/>
          <w:sz w:val="16"/>
        </w:rPr>
        <w:t>st </w:t>
      </w:r>
      <w:r>
        <w:rPr>
          <w:sz w:val="24"/>
        </w:rPr>
        <w:t>to 3</w:t>
      </w:r>
      <w:r>
        <w:rPr>
          <w:position w:val="6"/>
          <w:sz w:val="16"/>
        </w:rPr>
        <w:t>rd </w:t>
      </w:r>
      <w:r>
        <w:rPr>
          <w:sz w:val="24"/>
        </w:rPr>
        <w:t>Respondents</w:t>
      </w:r>
    </w:p>
    <w:p>
      <w:pPr>
        <w:spacing w:before="1"/>
        <w:ind w:left="100" w:right="0" w:firstLine="0"/>
        <w:jc w:val="left"/>
        <w:rPr>
          <w:i/>
          <w:sz w:val="24"/>
        </w:rPr>
      </w:pPr>
      <w:r>
        <w:rPr>
          <w:i/>
          <w:sz w:val="24"/>
        </w:rPr>
        <w:t>(Issa &amp; Company Advocates)</w:t>
      </w:r>
    </w:p>
    <w:p>
      <w:pPr>
        <w:pStyle w:val="BodyText"/>
        <w:spacing w:before="11"/>
        <w:rPr>
          <w:i/>
          <w:sz w:val="23"/>
        </w:rPr>
      </w:pPr>
    </w:p>
    <w:p>
      <w:pPr>
        <w:spacing w:before="0"/>
        <w:ind w:left="100" w:right="0" w:firstLine="0"/>
        <w:jc w:val="left"/>
        <w:rPr>
          <w:sz w:val="24"/>
        </w:rPr>
      </w:pPr>
      <w:r>
        <w:rPr>
          <w:sz w:val="24"/>
        </w:rPr>
        <w:t>No appearance for the 4</w:t>
      </w:r>
      <w:r>
        <w:rPr>
          <w:position w:val="6"/>
          <w:sz w:val="16"/>
        </w:rPr>
        <w:t>th </w:t>
      </w:r>
      <w:r>
        <w:rPr>
          <w:sz w:val="24"/>
        </w:rPr>
        <w:t>Respondent</w:t>
      </w:r>
    </w:p>
    <w:p>
      <w:pPr>
        <w:pStyle w:val="BodyText"/>
        <w:spacing w:before="1"/>
        <w:rPr>
          <w:sz w:val="24"/>
        </w:rPr>
      </w:pPr>
    </w:p>
    <w:p>
      <w:pPr>
        <w:spacing w:before="0"/>
        <w:ind w:left="70" w:right="80" w:firstLine="0"/>
        <w:jc w:val="center"/>
        <w:rPr>
          <w:b/>
          <w:sz w:val="28"/>
        </w:rPr>
      </w:pPr>
      <w:r>
        <w:rPr>
          <w:b/>
          <w:sz w:val="28"/>
          <w:u w:val="single"/>
        </w:rPr>
        <w:t>RULING OF THE COURT</w:t>
      </w:r>
    </w:p>
    <w:p>
      <w:pPr>
        <w:pStyle w:val="BodyText"/>
        <w:spacing w:before="4"/>
        <w:rPr>
          <w:b/>
        </w:rPr>
      </w:pPr>
    </w:p>
    <w:p>
      <w:pPr>
        <w:pStyle w:val="ListParagraph"/>
        <w:numPr>
          <w:ilvl w:val="0"/>
          <w:numId w:val="1"/>
        </w:numPr>
        <w:tabs>
          <w:tab w:pos="519" w:val="left" w:leader="none"/>
        </w:tabs>
        <w:spacing w:line="360" w:lineRule="auto" w:before="99" w:after="0"/>
        <w:ind w:left="100" w:right="113" w:firstLine="0"/>
        <w:jc w:val="left"/>
        <w:rPr>
          <w:sz w:val="26"/>
        </w:rPr>
      </w:pPr>
      <w:r>
        <w:rPr>
          <w:b/>
          <w:sz w:val="26"/>
        </w:rPr>
        <w:t>UPON</w:t>
      </w:r>
      <w:r>
        <w:rPr>
          <w:b/>
          <w:spacing w:val="-9"/>
          <w:sz w:val="26"/>
        </w:rPr>
        <w:t> </w:t>
      </w:r>
      <w:r>
        <w:rPr>
          <w:sz w:val="26"/>
        </w:rPr>
        <w:t>perusing</w:t>
      </w:r>
      <w:r>
        <w:rPr>
          <w:spacing w:val="-5"/>
          <w:sz w:val="26"/>
        </w:rPr>
        <w:t> </w:t>
      </w:r>
      <w:r>
        <w:rPr>
          <w:sz w:val="26"/>
        </w:rPr>
        <w:t>the</w:t>
      </w:r>
      <w:r>
        <w:rPr>
          <w:spacing w:val="-10"/>
          <w:sz w:val="26"/>
        </w:rPr>
        <w:t> </w:t>
      </w:r>
      <w:r>
        <w:rPr>
          <w:sz w:val="26"/>
        </w:rPr>
        <w:t>Originating</w:t>
      </w:r>
      <w:r>
        <w:rPr>
          <w:spacing w:val="-7"/>
          <w:sz w:val="26"/>
        </w:rPr>
        <w:t> </w:t>
      </w:r>
      <w:r>
        <w:rPr>
          <w:sz w:val="26"/>
        </w:rPr>
        <w:t>Motion</w:t>
      </w:r>
      <w:r>
        <w:rPr>
          <w:spacing w:val="-8"/>
          <w:sz w:val="26"/>
        </w:rPr>
        <w:t> </w:t>
      </w:r>
      <w:r>
        <w:rPr>
          <w:sz w:val="26"/>
        </w:rPr>
        <w:t>dated</w:t>
      </w:r>
      <w:r>
        <w:rPr>
          <w:spacing w:val="-8"/>
          <w:sz w:val="26"/>
        </w:rPr>
        <w:t> </w:t>
      </w:r>
      <w:r>
        <w:rPr>
          <w:sz w:val="26"/>
        </w:rPr>
        <w:t>4</w:t>
      </w:r>
      <w:r>
        <w:rPr>
          <w:position w:val="7"/>
          <w:sz w:val="17"/>
        </w:rPr>
        <w:t>th</w:t>
      </w:r>
      <w:r>
        <w:rPr>
          <w:spacing w:val="11"/>
          <w:position w:val="7"/>
          <w:sz w:val="17"/>
        </w:rPr>
        <w:t> </w:t>
      </w:r>
      <w:r>
        <w:rPr>
          <w:sz w:val="26"/>
        </w:rPr>
        <w:t>October,</w:t>
      </w:r>
      <w:r>
        <w:rPr>
          <w:spacing w:val="-8"/>
          <w:sz w:val="26"/>
        </w:rPr>
        <w:t> </w:t>
      </w:r>
      <w:r>
        <w:rPr>
          <w:sz w:val="26"/>
        </w:rPr>
        <w:t>2024</w:t>
      </w:r>
      <w:r>
        <w:rPr>
          <w:spacing w:val="-9"/>
          <w:sz w:val="26"/>
        </w:rPr>
        <w:t> </w:t>
      </w:r>
      <w:r>
        <w:rPr>
          <w:sz w:val="26"/>
        </w:rPr>
        <w:t>and</w:t>
      </w:r>
      <w:r>
        <w:rPr>
          <w:spacing w:val="-7"/>
          <w:sz w:val="26"/>
        </w:rPr>
        <w:t> </w:t>
      </w:r>
      <w:r>
        <w:rPr>
          <w:sz w:val="26"/>
        </w:rPr>
        <w:t>filed</w:t>
      </w:r>
      <w:r>
        <w:rPr>
          <w:spacing w:val="-10"/>
          <w:sz w:val="26"/>
        </w:rPr>
        <w:t> </w:t>
      </w:r>
      <w:r>
        <w:rPr>
          <w:sz w:val="26"/>
        </w:rPr>
        <w:t>on 9</w:t>
      </w:r>
      <w:r>
        <w:rPr>
          <w:position w:val="7"/>
          <w:sz w:val="17"/>
        </w:rPr>
        <w:t>th </w:t>
      </w:r>
      <w:r>
        <w:rPr>
          <w:sz w:val="26"/>
        </w:rPr>
        <w:t>October, 2024, pursuant to Article 163(4)(b) &amp; (5)</w:t>
      </w:r>
      <w:r>
        <w:rPr>
          <w:spacing w:val="12"/>
          <w:sz w:val="26"/>
        </w:rPr>
        <w:t> </w:t>
      </w:r>
      <w:r>
        <w:rPr>
          <w:sz w:val="26"/>
        </w:rPr>
        <w:t>of the Constitution,</w:t>
      </w:r>
    </w:p>
    <w:p>
      <w:pPr>
        <w:spacing w:after="0" w:line="360" w:lineRule="auto"/>
        <w:jc w:val="left"/>
        <w:rPr>
          <w:sz w:val="26"/>
        </w:rPr>
        <w:sectPr>
          <w:footerReference w:type="default" r:id="rId5"/>
          <w:type w:val="continuous"/>
          <w:pgSz w:w="11910" w:h="16840"/>
          <w:pgMar w:footer="977" w:top="960" w:bottom="1160" w:left="1340" w:right="1160"/>
          <w:pgNumType w:start="1"/>
        </w:sectPr>
      </w:pPr>
    </w:p>
    <w:p>
      <w:pPr>
        <w:pStyle w:val="BodyText"/>
        <w:spacing w:line="360" w:lineRule="auto" w:before="77"/>
        <w:ind w:left="100" w:right="110"/>
        <w:jc w:val="both"/>
      </w:pPr>
      <w:r>
        <w:rPr/>
        <w:drawing>
          <wp:anchor distT="0" distB="0" distL="0" distR="0" allowOverlap="1" layoutInCell="1" locked="0" behindDoc="1" simplePos="0" relativeHeight="251487232">
            <wp:simplePos x="0" y="0"/>
            <wp:positionH relativeFrom="page">
              <wp:posOffset>1936278</wp:posOffset>
            </wp:positionH>
            <wp:positionV relativeFrom="paragraph">
              <wp:posOffset>2365386</wp:posOffset>
            </wp:positionV>
            <wp:extent cx="4159045" cy="4436566"/>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7" cstate="print"/>
                    <a:stretch>
                      <a:fillRect/>
                    </a:stretch>
                  </pic:blipFill>
                  <pic:spPr>
                    <a:xfrm>
                      <a:off x="0" y="0"/>
                      <a:ext cx="4159045" cy="4436566"/>
                    </a:xfrm>
                    <a:prstGeom prst="rect">
                      <a:avLst/>
                    </a:prstGeom>
                  </pic:spPr>
                </pic:pic>
              </a:graphicData>
            </a:graphic>
          </wp:anchor>
        </w:drawing>
      </w:r>
      <w:r>
        <w:rPr/>
        <w:t>Sections</w:t>
      </w:r>
      <w:r>
        <w:rPr>
          <w:spacing w:val="-7"/>
        </w:rPr>
        <w:t> </w:t>
      </w:r>
      <w:r>
        <w:rPr/>
        <w:t>3,</w:t>
      </w:r>
      <w:r>
        <w:rPr>
          <w:spacing w:val="-8"/>
        </w:rPr>
        <w:t> </w:t>
      </w:r>
      <w:r>
        <w:rPr/>
        <w:t>15,</w:t>
      </w:r>
      <w:r>
        <w:rPr>
          <w:spacing w:val="-8"/>
        </w:rPr>
        <w:t> </w:t>
      </w:r>
      <w:r>
        <w:rPr/>
        <w:t>15B,</w:t>
      </w:r>
      <w:r>
        <w:rPr>
          <w:spacing w:val="-5"/>
        </w:rPr>
        <w:t> </w:t>
      </w:r>
      <w:r>
        <w:rPr/>
        <w:t>23(2B)</w:t>
      </w:r>
      <w:r>
        <w:rPr>
          <w:spacing w:val="-7"/>
        </w:rPr>
        <w:t> </w:t>
      </w:r>
      <w:r>
        <w:rPr/>
        <w:t>&amp;</w:t>
      </w:r>
      <w:r>
        <w:rPr>
          <w:spacing w:val="-7"/>
        </w:rPr>
        <w:t> </w:t>
      </w:r>
      <w:r>
        <w:rPr/>
        <w:t>24</w:t>
      </w:r>
      <w:r>
        <w:rPr>
          <w:spacing w:val="-8"/>
        </w:rPr>
        <w:t> </w:t>
      </w:r>
      <w:r>
        <w:rPr/>
        <w:t>of</w:t>
      </w:r>
      <w:r>
        <w:rPr>
          <w:spacing w:val="-8"/>
        </w:rPr>
        <w:t> </w:t>
      </w:r>
      <w:r>
        <w:rPr/>
        <w:t>the</w:t>
      </w:r>
      <w:r>
        <w:rPr>
          <w:spacing w:val="-8"/>
        </w:rPr>
        <w:t> </w:t>
      </w:r>
      <w:r>
        <w:rPr/>
        <w:t>Supreme</w:t>
      </w:r>
      <w:r>
        <w:rPr>
          <w:spacing w:val="-8"/>
        </w:rPr>
        <w:t> </w:t>
      </w:r>
      <w:r>
        <w:rPr/>
        <w:t>Court</w:t>
      </w:r>
      <w:r>
        <w:rPr>
          <w:spacing w:val="-8"/>
        </w:rPr>
        <w:t> </w:t>
      </w:r>
      <w:r>
        <w:rPr/>
        <w:t>Act</w:t>
      </w:r>
      <w:r>
        <w:rPr>
          <w:spacing w:val="-8"/>
        </w:rPr>
        <w:t> </w:t>
      </w:r>
      <w:r>
        <w:rPr/>
        <w:t>and Rules</w:t>
      </w:r>
      <w:r>
        <w:rPr>
          <w:spacing w:val="-7"/>
        </w:rPr>
        <w:t> </w:t>
      </w:r>
      <w:r>
        <w:rPr/>
        <w:t>3,</w:t>
      </w:r>
      <w:r>
        <w:rPr>
          <w:spacing w:val="-8"/>
        </w:rPr>
        <w:t> </w:t>
      </w:r>
      <w:r>
        <w:rPr/>
        <w:t>32,</w:t>
      </w:r>
      <w:r>
        <w:rPr>
          <w:spacing w:val="-8"/>
        </w:rPr>
        <w:t> </w:t>
      </w:r>
      <w:r>
        <w:rPr/>
        <w:t>33,</w:t>
      </w:r>
      <w:r>
        <w:rPr>
          <w:spacing w:val="-8"/>
        </w:rPr>
        <w:t> </w:t>
      </w:r>
      <w:r>
        <w:rPr/>
        <w:t>36 &amp; 37 of the Supreme Court Rules, 2022 seeking a review of the decision of the Court of Appeal made on 20</w:t>
      </w:r>
      <w:r>
        <w:rPr>
          <w:position w:val="7"/>
          <w:sz w:val="17"/>
        </w:rPr>
        <w:t>th </w:t>
      </w:r>
      <w:r>
        <w:rPr/>
        <w:t>September 2024 declining to certify the intended appeal against the judgment of the Court of Appeal in Nairobi Civil Appeal No.590 of 2019 (</w:t>
      </w:r>
      <w:r>
        <w:rPr>
          <w:b/>
          <w:i/>
        </w:rPr>
        <w:t>Harish Ramji, Bharat Ramji &amp; Ashwin Ramji vs </w:t>
      </w:r>
      <w:r>
        <w:rPr>
          <w:b/>
          <w:i/>
        </w:rPr>
        <w:t>Mombasa</w:t>
      </w:r>
      <w:r>
        <w:rPr>
          <w:b/>
          <w:i/>
          <w:spacing w:val="-8"/>
        </w:rPr>
        <w:t> </w:t>
      </w:r>
      <w:r>
        <w:rPr>
          <w:b/>
          <w:i/>
        </w:rPr>
        <w:t>Cement</w:t>
      </w:r>
      <w:r>
        <w:rPr>
          <w:b/>
          <w:i/>
          <w:spacing w:val="-8"/>
        </w:rPr>
        <w:t> </w:t>
      </w:r>
      <w:r>
        <w:rPr>
          <w:b/>
          <w:i/>
        </w:rPr>
        <w:t>Limited</w:t>
      </w:r>
      <w:r>
        <w:rPr>
          <w:b/>
          <w:i/>
          <w:spacing w:val="-4"/>
        </w:rPr>
        <w:t> </w:t>
      </w:r>
      <w:r>
        <w:rPr>
          <w:b/>
          <w:i/>
        </w:rPr>
        <w:t>&amp;</w:t>
      </w:r>
      <w:r>
        <w:rPr>
          <w:b/>
          <w:i/>
          <w:spacing w:val="-10"/>
        </w:rPr>
        <w:t> </w:t>
      </w:r>
      <w:r>
        <w:rPr>
          <w:b/>
          <w:i/>
        </w:rPr>
        <w:t>National</w:t>
      </w:r>
      <w:r>
        <w:rPr>
          <w:b/>
          <w:i/>
          <w:spacing w:val="-9"/>
        </w:rPr>
        <w:t> </w:t>
      </w:r>
      <w:r>
        <w:rPr>
          <w:b/>
          <w:i/>
        </w:rPr>
        <w:t>Social</w:t>
      </w:r>
      <w:r>
        <w:rPr>
          <w:b/>
          <w:i/>
          <w:spacing w:val="-8"/>
        </w:rPr>
        <w:t> </w:t>
      </w:r>
      <w:r>
        <w:rPr>
          <w:b/>
          <w:i/>
        </w:rPr>
        <w:t>Security</w:t>
      </w:r>
      <w:r>
        <w:rPr>
          <w:b/>
          <w:i/>
          <w:spacing w:val="-5"/>
        </w:rPr>
        <w:t> </w:t>
      </w:r>
      <w:r>
        <w:rPr>
          <w:b/>
          <w:i/>
        </w:rPr>
        <w:t>Fund</w:t>
      </w:r>
      <w:r>
        <w:rPr/>
        <w:t>)</w:t>
      </w:r>
      <w:r>
        <w:rPr>
          <w:spacing w:val="-7"/>
        </w:rPr>
        <w:t> </w:t>
      </w:r>
      <w:r>
        <w:rPr/>
        <w:t>as</w:t>
      </w:r>
      <w:r>
        <w:rPr>
          <w:spacing w:val="-7"/>
        </w:rPr>
        <w:t> </w:t>
      </w:r>
      <w:r>
        <w:rPr/>
        <w:t>raising matters of general public importance as well as to avoid a gross and substantial miscarriage being occasioned;</w:t>
      </w:r>
      <w:r>
        <w:rPr>
          <w:spacing w:val="1"/>
        </w:rPr>
        <w:t> </w:t>
      </w:r>
      <w:r>
        <w:rPr/>
        <w:t>and</w:t>
      </w:r>
    </w:p>
    <w:p>
      <w:pPr>
        <w:pStyle w:val="ListParagraph"/>
        <w:numPr>
          <w:ilvl w:val="0"/>
          <w:numId w:val="1"/>
        </w:numPr>
        <w:tabs>
          <w:tab w:pos="579" w:val="left" w:leader="none"/>
        </w:tabs>
        <w:spacing w:line="360" w:lineRule="auto" w:before="240" w:after="0"/>
        <w:ind w:left="100" w:right="109" w:firstLine="0"/>
        <w:jc w:val="both"/>
        <w:rPr>
          <w:sz w:val="26"/>
        </w:rPr>
      </w:pPr>
      <w:r>
        <w:rPr>
          <w:b/>
          <w:sz w:val="26"/>
        </w:rPr>
        <w:t>UPON </w:t>
      </w:r>
      <w:r>
        <w:rPr>
          <w:sz w:val="26"/>
        </w:rPr>
        <w:t>perusing the grounds on the face of the application, the supporting affidavit by the applicant’s Manager, EVANS FRANCIS MUIGAI sworn on 4</w:t>
      </w:r>
      <w:r>
        <w:rPr>
          <w:position w:val="7"/>
          <w:sz w:val="17"/>
        </w:rPr>
        <w:t>th</w:t>
      </w:r>
      <w:r>
        <w:rPr>
          <w:sz w:val="17"/>
        </w:rPr>
        <w:t> </w:t>
      </w:r>
      <w:r>
        <w:rPr>
          <w:sz w:val="26"/>
        </w:rPr>
        <w:t>October 2024 including the annexures thereon and the written submissions dated 23</w:t>
      </w:r>
      <w:r>
        <w:rPr>
          <w:position w:val="7"/>
          <w:sz w:val="17"/>
        </w:rPr>
        <w:t>rd </w:t>
      </w:r>
      <w:r>
        <w:rPr>
          <w:sz w:val="26"/>
        </w:rPr>
        <w:t>October 2024 and filed on 29</w:t>
      </w:r>
      <w:r>
        <w:rPr>
          <w:position w:val="7"/>
          <w:sz w:val="17"/>
        </w:rPr>
        <w:t>th </w:t>
      </w:r>
      <w:r>
        <w:rPr>
          <w:sz w:val="26"/>
        </w:rPr>
        <w:t>October 2024 incorporating the applicant’s legal arguments that: the Court of Appeal’s Judgment dated 15</w:t>
      </w:r>
      <w:r>
        <w:rPr>
          <w:position w:val="7"/>
          <w:sz w:val="17"/>
        </w:rPr>
        <w:t>th</w:t>
      </w:r>
      <w:r>
        <w:rPr>
          <w:sz w:val="17"/>
        </w:rPr>
        <w:t> </w:t>
      </w:r>
      <w:r>
        <w:rPr>
          <w:sz w:val="26"/>
        </w:rPr>
        <w:t>December 2023 and the reasoning adopted in its ruling of 20</w:t>
      </w:r>
      <w:r>
        <w:rPr>
          <w:position w:val="7"/>
          <w:sz w:val="17"/>
        </w:rPr>
        <w:t>th </w:t>
      </w:r>
      <w:r>
        <w:rPr>
          <w:sz w:val="26"/>
        </w:rPr>
        <w:t>September 2024 on the validity of the title to the suit property (LR No.11895/50) contradicts this Court’s</w:t>
      </w:r>
      <w:r>
        <w:rPr>
          <w:spacing w:val="-8"/>
          <w:sz w:val="26"/>
        </w:rPr>
        <w:t> </w:t>
      </w:r>
      <w:r>
        <w:rPr>
          <w:sz w:val="26"/>
        </w:rPr>
        <w:t>decision</w:t>
      </w:r>
      <w:r>
        <w:rPr>
          <w:spacing w:val="-7"/>
          <w:sz w:val="26"/>
        </w:rPr>
        <w:t> </w:t>
      </w:r>
      <w:r>
        <w:rPr>
          <w:sz w:val="26"/>
        </w:rPr>
        <w:t>in</w:t>
      </w:r>
      <w:r>
        <w:rPr>
          <w:spacing w:val="-5"/>
          <w:sz w:val="26"/>
        </w:rPr>
        <w:t> </w:t>
      </w:r>
      <w:r>
        <w:rPr>
          <w:b/>
          <w:i/>
          <w:sz w:val="26"/>
        </w:rPr>
        <w:t>Dina</w:t>
      </w:r>
      <w:r>
        <w:rPr>
          <w:b/>
          <w:i/>
          <w:spacing w:val="-7"/>
          <w:sz w:val="26"/>
        </w:rPr>
        <w:t> </w:t>
      </w:r>
      <w:r>
        <w:rPr>
          <w:b/>
          <w:i/>
          <w:sz w:val="26"/>
        </w:rPr>
        <w:t>Management</w:t>
      </w:r>
      <w:r>
        <w:rPr>
          <w:b/>
          <w:i/>
          <w:spacing w:val="-6"/>
          <w:sz w:val="26"/>
        </w:rPr>
        <w:t> </w:t>
      </w:r>
      <w:r>
        <w:rPr>
          <w:b/>
          <w:i/>
          <w:sz w:val="26"/>
        </w:rPr>
        <w:t>Limited</w:t>
      </w:r>
      <w:r>
        <w:rPr>
          <w:b/>
          <w:i/>
          <w:spacing w:val="-8"/>
          <w:sz w:val="26"/>
        </w:rPr>
        <w:t> </w:t>
      </w:r>
      <w:r>
        <w:rPr>
          <w:b/>
          <w:i/>
          <w:sz w:val="26"/>
        </w:rPr>
        <w:t>v</w:t>
      </w:r>
      <w:r>
        <w:rPr>
          <w:b/>
          <w:i/>
          <w:spacing w:val="-5"/>
          <w:sz w:val="26"/>
        </w:rPr>
        <w:t> </w:t>
      </w:r>
      <w:r>
        <w:rPr>
          <w:b/>
          <w:i/>
          <w:sz w:val="26"/>
        </w:rPr>
        <w:t>County</w:t>
      </w:r>
      <w:r>
        <w:rPr>
          <w:b/>
          <w:i/>
          <w:spacing w:val="-4"/>
          <w:sz w:val="26"/>
        </w:rPr>
        <w:t> </w:t>
      </w:r>
      <w:r>
        <w:rPr>
          <w:b/>
          <w:i/>
          <w:sz w:val="26"/>
        </w:rPr>
        <w:t>Government</w:t>
      </w:r>
      <w:r>
        <w:rPr>
          <w:b/>
          <w:i/>
          <w:spacing w:val="-9"/>
          <w:sz w:val="26"/>
        </w:rPr>
        <w:t> </w:t>
      </w:r>
      <w:r>
        <w:rPr>
          <w:b/>
          <w:i/>
          <w:sz w:val="26"/>
        </w:rPr>
        <w:t>of </w:t>
      </w:r>
      <w:r>
        <w:rPr>
          <w:b/>
          <w:i/>
          <w:sz w:val="26"/>
        </w:rPr>
        <w:t>Mombasa &amp; 5 others </w:t>
      </w:r>
      <w:r>
        <w:rPr>
          <w:sz w:val="26"/>
        </w:rPr>
        <w:t>(Petition No.8 (E010) of 2021 [2023] KESC 30 (KLR)) (</w:t>
      </w:r>
      <w:r>
        <w:rPr>
          <w:b/>
          <w:i/>
          <w:sz w:val="26"/>
        </w:rPr>
        <w:t>Dina</w:t>
      </w:r>
      <w:r>
        <w:rPr>
          <w:b/>
          <w:i/>
          <w:spacing w:val="-19"/>
          <w:sz w:val="26"/>
        </w:rPr>
        <w:t> </w:t>
      </w:r>
      <w:r>
        <w:rPr>
          <w:b/>
          <w:i/>
          <w:sz w:val="26"/>
        </w:rPr>
        <w:t>Management</w:t>
      </w:r>
      <w:r>
        <w:rPr>
          <w:b/>
          <w:i/>
          <w:spacing w:val="-20"/>
          <w:sz w:val="26"/>
        </w:rPr>
        <w:t> </w:t>
      </w:r>
      <w:r>
        <w:rPr>
          <w:b/>
          <w:i/>
          <w:sz w:val="26"/>
        </w:rPr>
        <w:t>Case</w:t>
      </w:r>
      <w:r>
        <w:rPr>
          <w:sz w:val="26"/>
        </w:rPr>
        <w:t>);</w:t>
      </w:r>
      <w:r>
        <w:rPr>
          <w:spacing w:val="-16"/>
          <w:sz w:val="26"/>
        </w:rPr>
        <w:t> </w:t>
      </w:r>
      <w:r>
        <w:rPr>
          <w:sz w:val="26"/>
        </w:rPr>
        <w:t>the</w:t>
      </w:r>
      <w:r>
        <w:rPr>
          <w:spacing w:val="-15"/>
          <w:sz w:val="26"/>
        </w:rPr>
        <w:t> </w:t>
      </w:r>
      <w:r>
        <w:rPr>
          <w:sz w:val="26"/>
        </w:rPr>
        <w:t>Court</w:t>
      </w:r>
      <w:r>
        <w:rPr>
          <w:spacing w:val="-15"/>
          <w:sz w:val="26"/>
        </w:rPr>
        <w:t> </w:t>
      </w:r>
      <w:r>
        <w:rPr>
          <w:sz w:val="26"/>
        </w:rPr>
        <w:t>of</w:t>
      </w:r>
      <w:r>
        <w:rPr>
          <w:spacing w:val="-17"/>
          <w:sz w:val="26"/>
        </w:rPr>
        <w:t> </w:t>
      </w:r>
      <w:r>
        <w:rPr>
          <w:sz w:val="26"/>
        </w:rPr>
        <w:t>Appeal’s</w:t>
      </w:r>
      <w:r>
        <w:rPr>
          <w:spacing w:val="-16"/>
          <w:sz w:val="26"/>
        </w:rPr>
        <w:t> </w:t>
      </w:r>
      <w:r>
        <w:rPr>
          <w:sz w:val="26"/>
        </w:rPr>
        <w:t>judgment</w:t>
      </w:r>
      <w:r>
        <w:rPr>
          <w:spacing w:val="-15"/>
          <w:sz w:val="26"/>
        </w:rPr>
        <w:t> </w:t>
      </w:r>
      <w:r>
        <w:rPr>
          <w:sz w:val="26"/>
        </w:rPr>
        <w:t>is</w:t>
      </w:r>
      <w:r>
        <w:rPr>
          <w:spacing w:val="-15"/>
          <w:sz w:val="26"/>
        </w:rPr>
        <w:t> </w:t>
      </w:r>
      <w:r>
        <w:rPr>
          <w:sz w:val="26"/>
        </w:rPr>
        <w:t>in</w:t>
      </w:r>
      <w:r>
        <w:rPr>
          <w:spacing w:val="-16"/>
          <w:sz w:val="26"/>
        </w:rPr>
        <w:t> </w:t>
      </w:r>
      <w:r>
        <w:rPr>
          <w:sz w:val="26"/>
        </w:rPr>
        <w:t>direct</w:t>
      </w:r>
      <w:r>
        <w:rPr>
          <w:spacing w:val="-17"/>
          <w:sz w:val="26"/>
        </w:rPr>
        <w:t> </w:t>
      </w:r>
      <w:r>
        <w:rPr>
          <w:sz w:val="26"/>
        </w:rPr>
        <w:t>conflict and at cross-purposes with its own previous decision in </w:t>
      </w:r>
      <w:r>
        <w:rPr>
          <w:b/>
          <w:i/>
          <w:sz w:val="26"/>
        </w:rPr>
        <w:t>Sammy Mwangangi </w:t>
      </w:r>
      <w:r>
        <w:rPr>
          <w:b/>
          <w:i/>
          <w:sz w:val="26"/>
        </w:rPr>
        <w:t>&amp; 10 others vs Commissioner of Lands &amp; 3 other</w:t>
      </w:r>
      <w:r>
        <w:rPr>
          <w:sz w:val="26"/>
        </w:rPr>
        <w:t>s [2018]eKLR, </w:t>
      </w:r>
      <w:r>
        <w:rPr>
          <w:b/>
          <w:i/>
          <w:sz w:val="26"/>
        </w:rPr>
        <w:t>Munya </w:t>
      </w:r>
      <w:r>
        <w:rPr>
          <w:b/>
          <w:i/>
          <w:sz w:val="26"/>
        </w:rPr>
        <w:t>Maina vs Hiram Gathitha Maina </w:t>
      </w:r>
      <w:r>
        <w:rPr>
          <w:i/>
          <w:sz w:val="26"/>
        </w:rPr>
        <w:t>&amp; </w:t>
      </w:r>
      <w:r>
        <w:rPr>
          <w:b/>
          <w:i/>
          <w:sz w:val="26"/>
        </w:rPr>
        <w:t>Moses Okatch Owuor &amp; Anor vs </w:t>
      </w:r>
      <w:r>
        <w:rPr>
          <w:b/>
          <w:i/>
          <w:sz w:val="26"/>
        </w:rPr>
        <w:t>Attorney General &amp; Anor </w:t>
      </w:r>
      <w:r>
        <w:rPr>
          <w:sz w:val="26"/>
        </w:rPr>
        <w:t>[2017]eKLR; the Court of Appeal, on the certification application, conveniently and deliberately ignored the application dated 14</w:t>
      </w:r>
      <w:r>
        <w:rPr>
          <w:position w:val="7"/>
          <w:sz w:val="17"/>
        </w:rPr>
        <w:t>th </w:t>
      </w:r>
      <w:r>
        <w:rPr>
          <w:sz w:val="26"/>
        </w:rPr>
        <w:t>June 2023 relating to the fresh evidence of fraud and illegality which it had already considered as urgent and was pending determination thereby infringing on the applicant’s constitutional right to fair hearing under Article 50 and infringing Article 159(3) of the Constitution in rendering a decision that is repugnant to justice and morality;</w:t>
      </w:r>
      <w:r>
        <w:rPr>
          <w:spacing w:val="-1"/>
          <w:sz w:val="26"/>
        </w:rPr>
        <w:t> </w:t>
      </w:r>
      <w:r>
        <w:rPr>
          <w:sz w:val="26"/>
        </w:rPr>
        <w:t>and</w:t>
      </w:r>
    </w:p>
    <w:p>
      <w:pPr>
        <w:pStyle w:val="ListParagraph"/>
        <w:numPr>
          <w:ilvl w:val="0"/>
          <w:numId w:val="1"/>
        </w:numPr>
        <w:tabs>
          <w:tab w:pos="554" w:val="left" w:leader="none"/>
        </w:tabs>
        <w:spacing w:line="360" w:lineRule="auto" w:before="240" w:after="0"/>
        <w:ind w:left="100" w:right="114" w:firstLine="0"/>
        <w:jc w:val="both"/>
        <w:rPr>
          <w:sz w:val="26"/>
        </w:rPr>
      </w:pPr>
      <w:r>
        <w:rPr>
          <w:b/>
          <w:sz w:val="26"/>
        </w:rPr>
        <w:t>MINDFUL</w:t>
      </w:r>
      <w:r>
        <w:rPr>
          <w:b/>
          <w:spacing w:val="-7"/>
          <w:sz w:val="26"/>
        </w:rPr>
        <w:t> </w:t>
      </w:r>
      <w:r>
        <w:rPr>
          <w:sz w:val="26"/>
        </w:rPr>
        <w:t>of</w:t>
      </w:r>
      <w:r>
        <w:rPr>
          <w:spacing w:val="-6"/>
          <w:sz w:val="26"/>
        </w:rPr>
        <w:t> </w:t>
      </w:r>
      <w:r>
        <w:rPr>
          <w:sz w:val="26"/>
        </w:rPr>
        <w:t>the</w:t>
      </w:r>
      <w:r>
        <w:rPr>
          <w:spacing w:val="-9"/>
          <w:sz w:val="26"/>
        </w:rPr>
        <w:t> </w:t>
      </w:r>
      <w:r>
        <w:rPr>
          <w:sz w:val="26"/>
        </w:rPr>
        <w:t>applicant’s</w:t>
      </w:r>
      <w:r>
        <w:rPr>
          <w:spacing w:val="-8"/>
          <w:sz w:val="26"/>
        </w:rPr>
        <w:t> </w:t>
      </w:r>
      <w:r>
        <w:rPr>
          <w:sz w:val="26"/>
        </w:rPr>
        <w:t>submission</w:t>
      </w:r>
      <w:r>
        <w:rPr>
          <w:spacing w:val="-8"/>
          <w:sz w:val="26"/>
        </w:rPr>
        <w:t> </w:t>
      </w:r>
      <w:r>
        <w:rPr>
          <w:sz w:val="26"/>
        </w:rPr>
        <w:t>that</w:t>
      </w:r>
      <w:r>
        <w:rPr>
          <w:spacing w:val="-9"/>
          <w:sz w:val="26"/>
        </w:rPr>
        <w:t> </w:t>
      </w:r>
      <w:r>
        <w:rPr>
          <w:sz w:val="26"/>
        </w:rPr>
        <w:t>it</w:t>
      </w:r>
      <w:r>
        <w:rPr>
          <w:spacing w:val="-7"/>
          <w:sz w:val="26"/>
        </w:rPr>
        <w:t> </w:t>
      </w:r>
      <w:r>
        <w:rPr>
          <w:sz w:val="26"/>
        </w:rPr>
        <w:t>is</w:t>
      </w:r>
      <w:r>
        <w:rPr>
          <w:spacing w:val="-7"/>
          <w:sz w:val="26"/>
        </w:rPr>
        <w:t> </w:t>
      </w:r>
      <w:r>
        <w:rPr>
          <w:sz w:val="26"/>
        </w:rPr>
        <w:t>a</w:t>
      </w:r>
      <w:r>
        <w:rPr>
          <w:spacing w:val="-7"/>
          <w:sz w:val="26"/>
        </w:rPr>
        <w:t> </w:t>
      </w:r>
      <w:r>
        <w:rPr>
          <w:sz w:val="26"/>
        </w:rPr>
        <w:t>matter</w:t>
      </w:r>
      <w:r>
        <w:rPr>
          <w:spacing w:val="-7"/>
          <w:sz w:val="26"/>
        </w:rPr>
        <w:t> </w:t>
      </w:r>
      <w:r>
        <w:rPr>
          <w:sz w:val="26"/>
        </w:rPr>
        <w:t>of</w:t>
      </w:r>
      <w:r>
        <w:rPr>
          <w:spacing w:val="-9"/>
          <w:sz w:val="26"/>
        </w:rPr>
        <w:t> </w:t>
      </w:r>
      <w:r>
        <w:rPr>
          <w:sz w:val="26"/>
        </w:rPr>
        <w:t>general</w:t>
      </w:r>
      <w:r>
        <w:rPr>
          <w:spacing w:val="-8"/>
          <w:sz w:val="26"/>
        </w:rPr>
        <w:t> </w:t>
      </w:r>
      <w:r>
        <w:rPr>
          <w:sz w:val="26"/>
        </w:rPr>
        <w:t>public importance</w:t>
      </w:r>
      <w:r>
        <w:rPr>
          <w:spacing w:val="-7"/>
          <w:sz w:val="26"/>
        </w:rPr>
        <w:t> </w:t>
      </w:r>
      <w:r>
        <w:rPr>
          <w:sz w:val="26"/>
        </w:rPr>
        <w:t>for</w:t>
      </w:r>
      <w:r>
        <w:rPr>
          <w:spacing w:val="-8"/>
          <w:sz w:val="26"/>
        </w:rPr>
        <w:t> </w:t>
      </w:r>
      <w:r>
        <w:rPr>
          <w:sz w:val="26"/>
        </w:rPr>
        <w:t>the</w:t>
      </w:r>
      <w:r>
        <w:rPr>
          <w:spacing w:val="-5"/>
          <w:sz w:val="26"/>
        </w:rPr>
        <w:t> </w:t>
      </w:r>
      <w:r>
        <w:rPr>
          <w:sz w:val="26"/>
        </w:rPr>
        <w:t>Court</w:t>
      </w:r>
      <w:r>
        <w:rPr>
          <w:spacing w:val="-9"/>
          <w:sz w:val="26"/>
        </w:rPr>
        <w:t> </w:t>
      </w:r>
      <w:r>
        <w:rPr>
          <w:sz w:val="26"/>
        </w:rPr>
        <w:t>to</w:t>
      </w:r>
      <w:r>
        <w:rPr>
          <w:spacing w:val="-7"/>
          <w:sz w:val="26"/>
        </w:rPr>
        <w:t> </w:t>
      </w:r>
      <w:r>
        <w:rPr>
          <w:sz w:val="26"/>
        </w:rPr>
        <w:t>determine,</w:t>
      </w:r>
      <w:r>
        <w:rPr>
          <w:spacing w:val="-7"/>
          <w:sz w:val="26"/>
        </w:rPr>
        <w:t> </w:t>
      </w:r>
      <w:r>
        <w:rPr>
          <w:sz w:val="26"/>
        </w:rPr>
        <w:t>as</w:t>
      </w:r>
      <w:r>
        <w:rPr>
          <w:spacing w:val="-4"/>
          <w:sz w:val="26"/>
        </w:rPr>
        <w:t> </w:t>
      </w:r>
      <w:r>
        <w:rPr>
          <w:sz w:val="26"/>
        </w:rPr>
        <w:t>a</w:t>
      </w:r>
      <w:r>
        <w:rPr>
          <w:spacing w:val="-7"/>
          <w:sz w:val="26"/>
        </w:rPr>
        <w:t> </w:t>
      </w:r>
      <w:r>
        <w:rPr>
          <w:sz w:val="26"/>
        </w:rPr>
        <w:t>matter</w:t>
      </w:r>
      <w:r>
        <w:rPr>
          <w:spacing w:val="-6"/>
          <w:sz w:val="26"/>
        </w:rPr>
        <w:t> </w:t>
      </w:r>
      <w:r>
        <w:rPr>
          <w:sz w:val="26"/>
        </w:rPr>
        <w:t>of</w:t>
      </w:r>
      <w:r>
        <w:rPr>
          <w:spacing w:val="-7"/>
          <w:sz w:val="26"/>
        </w:rPr>
        <w:t> </w:t>
      </w:r>
      <w:r>
        <w:rPr>
          <w:sz w:val="26"/>
        </w:rPr>
        <w:t>law,</w:t>
      </w:r>
      <w:r>
        <w:rPr>
          <w:spacing w:val="-7"/>
          <w:sz w:val="26"/>
        </w:rPr>
        <w:t> </w:t>
      </w:r>
      <w:r>
        <w:rPr>
          <w:sz w:val="26"/>
        </w:rPr>
        <w:t>whether</w:t>
      </w:r>
      <w:r>
        <w:rPr>
          <w:spacing w:val="-7"/>
          <w:sz w:val="26"/>
        </w:rPr>
        <w:t> </w:t>
      </w:r>
      <w:r>
        <w:rPr>
          <w:sz w:val="26"/>
        </w:rPr>
        <w:t>a</w:t>
      </w:r>
      <w:r>
        <w:rPr>
          <w:spacing w:val="-8"/>
          <w:sz w:val="26"/>
        </w:rPr>
        <w:t> </w:t>
      </w:r>
      <w:r>
        <w:rPr>
          <w:sz w:val="26"/>
        </w:rPr>
        <w:t>valid</w:t>
      </w:r>
      <w:r>
        <w:rPr>
          <w:spacing w:val="-6"/>
          <w:sz w:val="26"/>
        </w:rPr>
        <w:t> </w:t>
      </w:r>
      <w:r>
        <w:rPr>
          <w:sz w:val="26"/>
        </w:rPr>
        <w:t>title</w:t>
      </w:r>
      <w:r>
        <w:rPr>
          <w:spacing w:val="-7"/>
          <w:sz w:val="26"/>
        </w:rPr>
        <w:t> </w:t>
      </w:r>
      <w:r>
        <w:rPr>
          <w:sz w:val="26"/>
        </w:rPr>
        <w:t>to property can issue or any proprietary rights can ensue over a particular parcel of land where the operative part of the Transfer Deed refers to a different parcel</w:t>
      </w:r>
      <w:r>
        <w:rPr>
          <w:spacing w:val="34"/>
          <w:sz w:val="26"/>
        </w:rPr>
        <w:t> </w:t>
      </w:r>
      <w:r>
        <w:rPr>
          <w:sz w:val="26"/>
        </w:rPr>
        <w:t>of</w:t>
      </w:r>
    </w:p>
    <w:p>
      <w:pPr>
        <w:spacing w:after="0" w:line="360" w:lineRule="auto"/>
        <w:jc w:val="both"/>
        <w:rPr>
          <w:sz w:val="26"/>
        </w:rPr>
        <w:sectPr>
          <w:pgSz w:w="11910" w:h="16840"/>
          <w:pgMar w:header="0" w:footer="977" w:top="880" w:bottom="1160" w:left="1340" w:right="1160"/>
        </w:sectPr>
      </w:pPr>
    </w:p>
    <w:p>
      <w:pPr>
        <w:pStyle w:val="BodyText"/>
        <w:spacing w:line="360" w:lineRule="auto" w:before="77"/>
        <w:ind w:left="100" w:right="112"/>
        <w:jc w:val="both"/>
        <w:rPr>
          <w:b/>
          <w:i/>
        </w:rPr>
      </w:pPr>
      <w:r>
        <w:rPr/>
        <w:drawing>
          <wp:anchor distT="0" distB="0" distL="0" distR="0" allowOverlap="1" layoutInCell="1" locked="0" behindDoc="1" simplePos="0" relativeHeight="251488256">
            <wp:simplePos x="0" y="0"/>
            <wp:positionH relativeFrom="page">
              <wp:posOffset>1936278</wp:posOffset>
            </wp:positionH>
            <wp:positionV relativeFrom="paragraph">
              <wp:posOffset>2365386</wp:posOffset>
            </wp:positionV>
            <wp:extent cx="4159045" cy="4436566"/>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7" cstate="print"/>
                    <a:stretch>
                      <a:fillRect/>
                    </a:stretch>
                  </pic:blipFill>
                  <pic:spPr>
                    <a:xfrm>
                      <a:off x="0" y="0"/>
                      <a:ext cx="4159045" cy="4436566"/>
                    </a:xfrm>
                    <a:prstGeom prst="rect">
                      <a:avLst/>
                    </a:prstGeom>
                  </pic:spPr>
                </pic:pic>
              </a:graphicData>
            </a:graphic>
          </wp:anchor>
        </w:drawing>
      </w:r>
      <w:r>
        <w:rPr/>
        <w:t>land.</w:t>
      </w:r>
      <w:r>
        <w:rPr>
          <w:spacing w:val="-12"/>
        </w:rPr>
        <w:t> </w:t>
      </w:r>
      <w:r>
        <w:rPr/>
        <w:t>That,</w:t>
      </w:r>
      <w:r>
        <w:rPr>
          <w:spacing w:val="-11"/>
        </w:rPr>
        <w:t> </w:t>
      </w:r>
      <w:r>
        <w:rPr/>
        <w:t>if</w:t>
      </w:r>
      <w:r>
        <w:rPr>
          <w:spacing w:val="-12"/>
        </w:rPr>
        <w:t> </w:t>
      </w:r>
      <w:r>
        <w:rPr/>
        <w:t>allowed</w:t>
      </w:r>
      <w:r>
        <w:rPr>
          <w:spacing w:val="-8"/>
        </w:rPr>
        <w:t> </w:t>
      </w:r>
      <w:r>
        <w:rPr/>
        <w:t>to</w:t>
      </w:r>
      <w:r>
        <w:rPr>
          <w:spacing w:val="-12"/>
        </w:rPr>
        <w:t> </w:t>
      </w:r>
      <w:r>
        <w:rPr/>
        <w:t>stand,</w:t>
      </w:r>
      <w:r>
        <w:rPr>
          <w:spacing w:val="-10"/>
        </w:rPr>
        <w:t> </w:t>
      </w:r>
      <w:r>
        <w:rPr/>
        <w:t>the</w:t>
      </w:r>
      <w:r>
        <w:rPr>
          <w:spacing w:val="-10"/>
        </w:rPr>
        <w:t> </w:t>
      </w:r>
      <w:r>
        <w:rPr/>
        <w:t>general</w:t>
      </w:r>
      <w:r>
        <w:rPr>
          <w:spacing w:val="-8"/>
        </w:rPr>
        <w:t> </w:t>
      </w:r>
      <w:r>
        <w:rPr/>
        <w:t>public</w:t>
      </w:r>
      <w:r>
        <w:rPr>
          <w:spacing w:val="-12"/>
        </w:rPr>
        <w:t> </w:t>
      </w:r>
      <w:r>
        <w:rPr/>
        <w:t>will</w:t>
      </w:r>
      <w:r>
        <w:rPr>
          <w:spacing w:val="-12"/>
        </w:rPr>
        <w:t> </w:t>
      </w:r>
      <w:r>
        <w:rPr/>
        <w:t>likely</w:t>
      </w:r>
      <w:r>
        <w:rPr>
          <w:spacing w:val="-10"/>
        </w:rPr>
        <w:t> </w:t>
      </w:r>
      <w:r>
        <w:rPr/>
        <w:t>interpret</w:t>
      </w:r>
      <w:r>
        <w:rPr>
          <w:spacing w:val="-10"/>
        </w:rPr>
        <w:t> </w:t>
      </w:r>
      <w:r>
        <w:rPr/>
        <w:t>the</w:t>
      </w:r>
      <w:r>
        <w:rPr>
          <w:spacing w:val="-10"/>
        </w:rPr>
        <w:t> </w:t>
      </w:r>
      <w:r>
        <w:rPr/>
        <w:t>decision as one condoning illegality resulting in issuance of a valid indefeasible title for land referred to only in the preamble of the transfer document. The applicant on that point refers the Court to the settled principles of law on certification in </w:t>
      </w:r>
      <w:r>
        <w:rPr>
          <w:b/>
          <w:i/>
        </w:rPr>
        <w:t>Steyn v Ruscone </w:t>
      </w:r>
      <w:r>
        <w:rPr/>
        <w:t>(Application 4 of 2012) [2013] KESC 11 (KLR) (</w:t>
      </w:r>
      <w:r>
        <w:rPr>
          <w:b/>
          <w:i/>
        </w:rPr>
        <w:t>Hermanus </w:t>
      </w:r>
      <w:r>
        <w:rPr>
          <w:b/>
          <w:i/>
        </w:rPr>
        <w:t>Phillipus Steyn case</w:t>
      </w:r>
      <w:r>
        <w:rPr/>
        <w:t>), </w:t>
      </w:r>
      <w:r>
        <w:rPr>
          <w:b/>
          <w:i/>
        </w:rPr>
        <w:t>Githiga &amp; 5 others v Kiru Tea Factory </w:t>
      </w:r>
      <w:r>
        <w:rPr>
          <w:b/>
          <w:i/>
        </w:rPr>
        <w:t>Company Limited </w:t>
      </w:r>
      <w:r>
        <w:rPr/>
        <w:t>(Petition 13 of 2019) [2023]KESC 41 on the question of procedural fairness, right to a fair hearing and the requirement of all Courts to adhere</w:t>
      </w:r>
      <w:r>
        <w:rPr>
          <w:spacing w:val="-6"/>
        </w:rPr>
        <w:t> </w:t>
      </w:r>
      <w:r>
        <w:rPr/>
        <w:t>to</w:t>
      </w:r>
      <w:r>
        <w:rPr>
          <w:spacing w:val="-5"/>
        </w:rPr>
        <w:t> </w:t>
      </w:r>
      <w:r>
        <w:rPr/>
        <w:t>the</w:t>
      </w:r>
      <w:r>
        <w:rPr>
          <w:spacing w:val="-4"/>
        </w:rPr>
        <w:t> </w:t>
      </w:r>
      <w:r>
        <w:rPr/>
        <w:t>principles</w:t>
      </w:r>
      <w:r>
        <w:rPr>
          <w:spacing w:val="-4"/>
        </w:rPr>
        <w:t> </w:t>
      </w:r>
      <w:r>
        <w:rPr/>
        <w:t>of</w:t>
      </w:r>
      <w:r>
        <w:rPr>
          <w:spacing w:val="-7"/>
        </w:rPr>
        <w:t> </w:t>
      </w:r>
      <w:r>
        <w:rPr/>
        <w:t>natural</w:t>
      </w:r>
      <w:r>
        <w:rPr>
          <w:spacing w:val="-7"/>
        </w:rPr>
        <w:t> </w:t>
      </w:r>
      <w:r>
        <w:rPr/>
        <w:t>justice</w:t>
      </w:r>
      <w:r>
        <w:rPr>
          <w:spacing w:val="-2"/>
        </w:rPr>
        <w:t> </w:t>
      </w:r>
      <w:r>
        <w:rPr/>
        <w:t>and</w:t>
      </w:r>
      <w:r>
        <w:rPr>
          <w:spacing w:val="-4"/>
        </w:rPr>
        <w:t> </w:t>
      </w:r>
      <w:r>
        <w:rPr/>
        <w:t>in</w:t>
      </w:r>
      <w:r>
        <w:rPr>
          <w:spacing w:val="-4"/>
        </w:rPr>
        <w:t> </w:t>
      </w:r>
      <w:r>
        <w:rPr>
          <w:b/>
          <w:i/>
        </w:rPr>
        <w:t>Deynes</w:t>
      </w:r>
      <w:r>
        <w:rPr>
          <w:b/>
          <w:i/>
          <w:spacing w:val="-7"/>
        </w:rPr>
        <w:t> </w:t>
      </w:r>
      <w:r>
        <w:rPr>
          <w:b/>
          <w:i/>
        </w:rPr>
        <w:t>Muriithi</w:t>
      </w:r>
      <w:r>
        <w:rPr>
          <w:b/>
          <w:i/>
          <w:spacing w:val="-4"/>
        </w:rPr>
        <w:t> </w:t>
      </w:r>
      <w:r>
        <w:rPr>
          <w:b/>
          <w:i/>
        </w:rPr>
        <w:t>&amp;</w:t>
      </w:r>
      <w:r>
        <w:rPr>
          <w:b/>
          <w:i/>
          <w:spacing w:val="-6"/>
        </w:rPr>
        <w:t> </w:t>
      </w:r>
      <w:r>
        <w:rPr>
          <w:b/>
          <w:i/>
        </w:rPr>
        <w:t>4</w:t>
      </w:r>
      <w:r>
        <w:rPr>
          <w:b/>
          <w:i/>
          <w:spacing w:val="-5"/>
        </w:rPr>
        <w:t> </w:t>
      </w:r>
      <w:r>
        <w:rPr>
          <w:b/>
          <w:i/>
        </w:rPr>
        <w:t>others</w:t>
      </w:r>
    </w:p>
    <w:p>
      <w:pPr>
        <w:pStyle w:val="BodyText"/>
        <w:spacing w:line="360" w:lineRule="auto" w:before="1"/>
        <w:ind w:left="100" w:right="117"/>
        <w:jc w:val="both"/>
      </w:pPr>
      <w:r>
        <w:rPr/>
        <w:pict>
          <v:rect style="position:absolute;margin-left:72.024002pt;margin-top:.096889pt;width:459.67pt;height:14.784pt;mso-position-horizontal-relative:page;mso-position-vertical-relative:paragraph;z-index:-251827200" filled="true" fillcolor="#ffffff" stroked="false">
            <v:fill type="solid"/>
            <w10:wrap type="none"/>
          </v:rect>
        </w:pict>
      </w:r>
      <w:r>
        <w:rPr>
          <w:b/>
          <w:i/>
        </w:rPr>
        <w:t>v. Law Society of Kenya &amp; another</w:t>
      </w:r>
      <w:r>
        <w:rPr/>
        <w:t>; SC Application No 12 of 2015, [2016] eKLR on the Court’s jurisdiction to correct the injustice occasioned by a contravention of the Constitution; and</w:t>
      </w:r>
    </w:p>
    <w:p>
      <w:pPr>
        <w:pStyle w:val="ListParagraph"/>
        <w:numPr>
          <w:ilvl w:val="0"/>
          <w:numId w:val="1"/>
        </w:numPr>
        <w:tabs>
          <w:tab w:pos="581" w:val="left" w:leader="none"/>
        </w:tabs>
        <w:spacing w:line="360" w:lineRule="auto" w:before="239" w:after="0"/>
        <w:ind w:left="100" w:right="111" w:firstLine="0"/>
        <w:jc w:val="both"/>
        <w:rPr>
          <w:sz w:val="26"/>
        </w:rPr>
      </w:pPr>
      <w:r>
        <w:rPr>
          <w:b/>
          <w:sz w:val="26"/>
        </w:rPr>
        <w:t>COGNISANT </w:t>
      </w:r>
      <w:r>
        <w:rPr>
          <w:sz w:val="26"/>
        </w:rPr>
        <w:t>of the applicant’s additional submission that a further issue of</w:t>
      </w:r>
      <w:r>
        <w:rPr>
          <w:spacing w:val="-10"/>
          <w:sz w:val="26"/>
        </w:rPr>
        <w:t> </w:t>
      </w:r>
      <w:r>
        <w:rPr>
          <w:sz w:val="26"/>
        </w:rPr>
        <w:t>general</w:t>
      </w:r>
      <w:r>
        <w:rPr>
          <w:spacing w:val="-9"/>
          <w:sz w:val="26"/>
        </w:rPr>
        <w:t> </w:t>
      </w:r>
      <w:r>
        <w:rPr>
          <w:sz w:val="26"/>
        </w:rPr>
        <w:t>public</w:t>
      </w:r>
      <w:r>
        <w:rPr>
          <w:spacing w:val="-10"/>
          <w:sz w:val="26"/>
        </w:rPr>
        <w:t> </w:t>
      </w:r>
      <w:r>
        <w:rPr>
          <w:sz w:val="26"/>
        </w:rPr>
        <w:t>interest</w:t>
      </w:r>
      <w:r>
        <w:rPr>
          <w:spacing w:val="-8"/>
          <w:sz w:val="26"/>
        </w:rPr>
        <w:t> </w:t>
      </w:r>
      <w:r>
        <w:rPr>
          <w:sz w:val="26"/>
        </w:rPr>
        <w:t>relates</w:t>
      </w:r>
      <w:r>
        <w:rPr>
          <w:spacing w:val="-7"/>
          <w:sz w:val="26"/>
        </w:rPr>
        <w:t> </w:t>
      </w:r>
      <w:r>
        <w:rPr>
          <w:sz w:val="26"/>
        </w:rPr>
        <w:t>to</w:t>
      </w:r>
      <w:r>
        <w:rPr>
          <w:spacing w:val="-8"/>
          <w:sz w:val="26"/>
        </w:rPr>
        <w:t> </w:t>
      </w:r>
      <w:r>
        <w:rPr>
          <w:sz w:val="26"/>
        </w:rPr>
        <w:t>the</w:t>
      </w:r>
      <w:r>
        <w:rPr>
          <w:spacing w:val="-10"/>
          <w:sz w:val="26"/>
        </w:rPr>
        <w:t> </w:t>
      </w:r>
      <w:r>
        <w:rPr>
          <w:sz w:val="26"/>
        </w:rPr>
        <w:t>conflict</w:t>
      </w:r>
      <w:r>
        <w:rPr>
          <w:spacing w:val="-10"/>
          <w:sz w:val="26"/>
        </w:rPr>
        <w:t> </w:t>
      </w:r>
      <w:r>
        <w:rPr>
          <w:sz w:val="26"/>
        </w:rPr>
        <w:t>in</w:t>
      </w:r>
      <w:r>
        <w:rPr>
          <w:spacing w:val="-9"/>
          <w:sz w:val="26"/>
        </w:rPr>
        <w:t> </w:t>
      </w:r>
      <w:r>
        <w:rPr>
          <w:sz w:val="26"/>
        </w:rPr>
        <w:t>interpretation</w:t>
      </w:r>
      <w:r>
        <w:rPr>
          <w:spacing w:val="-7"/>
          <w:sz w:val="26"/>
        </w:rPr>
        <w:t> </w:t>
      </w:r>
      <w:r>
        <w:rPr>
          <w:sz w:val="26"/>
        </w:rPr>
        <w:t>of</w:t>
      </w:r>
      <w:r>
        <w:rPr>
          <w:spacing w:val="-8"/>
          <w:sz w:val="26"/>
        </w:rPr>
        <w:t> </w:t>
      </w:r>
      <w:r>
        <w:rPr>
          <w:sz w:val="26"/>
        </w:rPr>
        <w:t>the</w:t>
      </w:r>
      <w:r>
        <w:rPr>
          <w:spacing w:val="-7"/>
          <w:sz w:val="26"/>
        </w:rPr>
        <w:t> </w:t>
      </w:r>
      <w:r>
        <w:rPr>
          <w:sz w:val="26"/>
        </w:rPr>
        <w:t>applicable law as to the status of a decree arising out of a consent order of the court as the decision by the Court of Appeal created a conflict as pertains the applicability of section 3(3) of the Law of Contract Act where there has been substantial part- performance as decided by the Court of Appeal in </w:t>
      </w:r>
      <w:r>
        <w:rPr>
          <w:b/>
          <w:i/>
          <w:sz w:val="26"/>
        </w:rPr>
        <w:t>Peter Mbiri Michuki v </w:t>
      </w:r>
      <w:r>
        <w:rPr>
          <w:b/>
          <w:i/>
          <w:sz w:val="26"/>
        </w:rPr>
        <w:t>Samuel Mugo Michuki </w:t>
      </w:r>
      <w:r>
        <w:rPr>
          <w:sz w:val="26"/>
        </w:rPr>
        <w:t>[2014] eKLR where it was held that an oral contract for sale of land can be enforced if it is coupled with part performance;</w:t>
      </w:r>
      <w:r>
        <w:rPr>
          <w:spacing w:val="-26"/>
          <w:sz w:val="26"/>
        </w:rPr>
        <w:t> </w:t>
      </w:r>
      <w:r>
        <w:rPr>
          <w:sz w:val="26"/>
        </w:rPr>
        <w:t>and</w:t>
      </w:r>
    </w:p>
    <w:p>
      <w:pPr>
        <w:pStyle w:val="ListParagraph"/>
        <w:numPr>
          <w:ilvl w:val="0"/>
          <w:numId w:val="1"/>
        </w:numPr>
        <w:tabs>
          <w:tab w:pos="562" w:val="left" w:leader="none"/>
        </w:tabs>
        <w:spacing w:line="360" w:lineRule="auto" w:before="240" w:after="0"/>
        <w:ind w:left="100" w:right="111" w:firstLine="0"/>
        <w:jc w:val="both"/>
        <w:rPr>
          <w:sz w:val="26"/>
        </w:rPr>
      </w:pPr>
      <w:r>
        <w:rPr>
          <w:b/>
          <w:sz w:val="26"/>
        </w:rPr>
        <w:t>UPON </w:t>
      </w:r>
      <w:r>
        <w:rPr>
          <w:sz w:val="26"/>
        </w:rPr>
        <w:t>reading the affidavit by BHARAT RAMJI, the 2</w:t>
      </w:r>
      <w:r>
        <w:rPr>
          <w:position w:val="7"/>
          <w:sz w:val="17"/>
        </w:rPr>
        <w:t>nd </w:t>
      </w:r>
      <w:r>
        <w:rPr>
          <w:sz w:val="26"/>
        </w:rPr>
        <w:t>respondent herein sworn on 26</w:t>
      </w:r>
      <w:r>
        <w:rPr>
          <w:position w:val="7"/>
          <w:sz w:val="17"/>
        </w:rPr>
        <w:t>th </w:t>
      </w:r>
      <w:r>
        <w:rPr>
          <w:sz w:val="26"/>
        </w:rPr>
        <w:t>November 2024 and filed on 28</w:t>
      </w:r>
      <w:r>
        <w:rPr>
          <w:position w:val="7"/>
          <w:sz w:val="17"/>
        </w:rPr>
        <w:t>th </w:t>
      </w:r>
      <w:r>
        <w:rPr>
          <w:sz w:val="26"/>
        </w:rPr>
        <w:t>November 2024 on behalf of the 1</w:t>
      </w:r>
      <w:r>
        <w:rPr>
          <w:position w:val="7"/>
          <w:sz w:val="17"/>
        </w:rPr>
        <w:t>st</w:t>
      </w:r>
      <w:r>
        <w:rPr>
          <w:spacing w:val="5"/>
          <w:position w:val="7"/>
          <w:sz w:val="17"/>
        </w:rPr>
        <w:t> </w:t>
      </w:r>
      <w:r>
        <w:rPr>
          <w:sz w:val="26"/>
        </w:rPr>
        <w:t>to</w:t>
      </w:r>
      <w:r>
        <w:rPr>
          <w:spacing w:val="-17"/>
          <w:sz w:val="26"/>
        </w:rPr>
        <w:t> </w:t>
      </w:r>
      <w:r>
        <w:rPr>
          <w:sz w:val="26"/>
        </w:rPr>
        <w:t>3</w:t>
      </w:r>
      <w:r>
        <w:rPr>
          <w:position w:val="7"/>
          <w:sz w:val="17"/>
        </w:rPr>
        <w:t>rd</w:t>
      </w:r>
      <w:r>
        <w:rPr>
          <w:spacing w:val="5"/>
          <w:position w:val="7"/>
          <w:sz w:val="17"/>
        </w:rPr>
        <w:t> </w:t>
      </w:r>
      <w:r>
        <w:rPr>
          <w:sz w:val="26"/>
        </w:rPr>
        <w:t>respondents</w:t>
      </w:r>
      <w:r>
        <w:rPr>
          <w:spacing w:val="-14"/>
          <w:sz w:val="26"/>
        </w:rPr>
        <w:t> </w:t>
      </w:r>
      <w:r>
        <w:rPr>
          <w:sz w:val="26"/>
        </w:rPr>
        <w:t>wherein</w:t>
      </w:r>
      <w:r>
        <w:rPr>
          <w:spacing w:val="-14"/>
          <w:sz w:val="26"/>
        </w:rPr>
        <w:t> </w:t>
      </w:r>
      <w:r>
        <w:rPr>
          <w:sz w:val="26"/>
        </w:rPr>
        <w:t>they</w:t>
      </w:r>
      <w:r>
        <w:rPr>
          <w:spacing w:val="-15"/>
          <w:sz w:val="26"/>
        </w:rPr>
        <w:t> </w:t>
      </w:r>
      <w:r>
        <w:rPr>
          <w:sz w:val="26"/>
        </w:rPr>
        <w:t>oppose</w:t>
      </w:r>
      <w:r>
        <w:rPr>
          <w:spacing w:val="-15"/>
          <w:sz w:val="26"/>
        </w:rPr>
        <w:t> </w:t>
      </w:r>
      <w:r>
        <w:rPr>
          <w:sz w:val="26"/>
        </w:rPr>
        <w:t>the</w:t>
      </w:r>
      <w:r>
        <w:rPr>
          <w:spacing w:val="-15"/>
          <w:sz w:val="26"/>
        </w:rPr>
        <w:t> </w:t>
      </w:r>
      <w:r>
        <w:rPr>
          <w:sz w:val="26"/>
        </w:rPr>
        <w:t>application</w:t>
      </w:r>
      <w:r>
        <w:rPr>
          <w:spacing w:val="-17"/>
          <w:sz w:val="26"/>
        </w:rPr>
        <w:t> </w:t>
      </w:r>
      <w:r>
        <w:rPr>
          <w:sz w:val="26"/>
        </w:rPr>
        <w:t>on</w:t>
      </w:r>
      <w:r>
        <w:rPr>
          <w:spacing w:val="-15"/>
          <w:sz w:val="26"/>
        </w:rPr>
        <w:t> </w:t>
      </w:r>
      <w:r>
        <w:rPr>
          <w:sz w:val="26"/>
        </w:rPr>
        <w:t>the</w:t>
      </w:r>
      <w:r>
        <w:rPr>
          <w:spacing w:val="-17"/>
          <w:sz w:val="26"/>
        </w:rPr>
        <w:t> </w:t>
      </w:r>
      <w:r>
        <w:rPr>
          <w:sz w:val="26"/>
        </w:rPr>
        <w:t>grounds</w:t>
      </w:r>
      <w:r>
        <w:rPr>
          <w:spacing w:val="-10"/>
          <w:sz w:val="26"/>
        </w:rPr>
        <w:t> </w:t>
      </w:r>
      <w:r>
        <w:rPr>
          <w:sz w:val="26"/>
        </w:rPr>
        <w:t>broadly summarized</w:t>
      </w:r>
      <w:r>
        <w:rPr>
          <w:spacing w:val="-6"/>
          <w:sz w:val="26"/>
        </w:rPr>
        <w:t> </w:t>
      </w:r>
      <w:r>
        <w:rPr>
          <w:sz w:val="26"/>
        </w:rPr>
        <w:t>as</w:t>
      </w:r>
      <w:r>
        <w:rPr>
          <w:spacing w:val="-8"/>
          <w:sz w:val="26"/>
        </w:rPr>
        <w:t> </w:t>
      </w:r>
      <w:r>
        <w:rPr>
          <w:sz w:val="26"/>
        </w:rPr>
        <w:t>that;</w:t>
      </w:r>
      <w:r>
        <w:rPr>
          <w:spacing w:val="-5"/>
          <w:sz w:val="26"/>
        </w:rPr>
        <w:t> </w:t>
      </w:r>
      <w:r>
        <w:rPr>
          <w:sz w:val="26"/>
        </w:rPr>
        <w:t>the</w:t>
      </w:r>
      <w:r>
        <w:rPr>
          <w:spacing w:val="-9"/>
          <w:sz w:val="26"/>
        </w:rPr>
        <w:t> </w:t>
      </w:r>
      <w:r>
        <w:rPr>
          <w:sz w:val="26"/>
        </w:rPr>
        <w:t>application</w:t>
      </w:r>
      <w:r>
        <w:rPr>
          <w:spacing w:val="-6"/>
          <w:sz w:val="26"/>
        </w:rPr>
        <w:t> </w:t>
      </w:r>
      <w:r>
        <w:rPr>
          <w:sz w:val="26"/>
        </w:rPr>
        <w:t>does</w:t>
      </w:r>
      <w:r>
        <w:rPr>
          <w:spacing w:val="-5"/>
          <w:sz w:val="26"/>
        </w:rPr>
        <w:t> </w:t>
      </w:r>
      <w:r>
        <w:rPr>
          <w:sz w:val="26"/>
        </w:rPr>
        <w:t>not</w:t>
      </w:r>
      <w:r>
        <w:rPr>
          <w:spacing w:val="-9"/>
          <w:sz w:val="26"/>
        </w:rPr>
        <w:t> </w:t>
      </w:r>
      <w:r>
        <w:rPr>
          <w:sz w:val="26"/>
        </w:rPr>
        <w:t>meet</w:t>
      </w:r>
      <w:r>
        <w:rPr>
          <w:spacing w:val="-7"/>
          <w:sz w:val="26"/>
        </w:rPr>
        <w:t> </w:t>
      </w:r>
      <w:r>
        <w:rPr>
          <w:sz w:val="26"/>
        </w:rPr>
        <w:t>the</w:t>
      </w:r>
      <w:r>
        <w:rPr>
          <w:spacing w:val="-5"/>
          <w:sz w:val="26"/>
        </w:rPr>
        <w:t> </w:t>
      </w:r>
      <w:r>
        <w:rPr>
          <w:sz w:val="26"/>
        </w:rPr>
        <w:t>threshold</w:t>
      </w:r>
      <w:r>
        <w:rPr>
          <w:spacing w:val="-8"/>
          <w:sz w:val="26"/>
        </w:rPr>
        <w:t> </w:t>
      </w:r>
      <w:r>
        <w:rPr>
          <w:sz w:val="26"/>
        </w:rPr>
        <w:t>for</w:t>
      </w:r>
      <w:r>
        <w:rPr>
          <w:spacing w:val="-7"/>
          <w:sz w:val="26"/>
        </w:rPr>
        <w:t> </w:t>
      </w:r>
      <w:r>
        <w:rPr>
          <w:sz w:val="26"/>
        </w:rPr>
        <w:t>certification as the issues raised neither formed part of the issues for determination by the superior courts below nor do they transcend the specific circumstances of the parties; that some of the issues raised in the application for certification before the Court of Appeal did not flow from the pleadings for determination; </w:t>
      </w:r>
      <w:r>
        <w:rPr>
          <w:spacing w:val="2"/>
          <w:sz w:val="26"/>
        </w:rPr>
        <w:t>that </w:t>
      </w:r>
      <w:r>
        <w:rPr>
          <w:sz w:val="26"/>
        </w:rPr>
        <w:t>the applicant is trying to advance a completely new claim in this application for review of the Court of Appeal’s ruling; that the issue of fraud was already determined and found to be unsubstantiated; the allegations of fraud being introduced</w:t>
      </w:r>
      <w:r>
        <w:rPr>
          <w:spacing w:val="-15"/>
          <w:sz w:val="26"/>
        </w:rPr>
        <w:t> </w:t>
      </w:r>
      <w:r>
        <w:rPr>
          <w:sz w:val="26"/>
        </w:rPr>
        <w:t>through</w:t>
      </w:r>
      <w:r>
        <w:rPr>
          <w:spacing w:val="-13"/>
          <w:sz w:val="26"/>
        </w:rPr>
        <w:t> </w:t>
      </w:r>
      <w:r>
        <w:rPr>
          <w:sz w:val="26"/>
        </w:rPr>
        <w:t>an</w:t>
      </w:r>
      <w:r>
        <w:rPr>
          <w:spacing w:val="-14"/>
          <w:sz w:val="26"/>
        </w:rPr>
        <w:t> </w:t>
      </w:r>
      <w:r>
        <w:rPr>
          <w:sz w:val="26"/>
        </w:rPr>
        <w:t>affidavit</w:t>
      </w:r>
      <w:r>
        <w:rPr>
          <w:spacing w:val="-14"/>
          <w:sz w:val="26"/>
        </w:rPr>
        <w:t> </w:t>
      </w:r>
      <w:r>
        <w:rPr>
          <w:sz w:val="26"/>
        </w:rPr>
        <w:t>post</w:t>
      </w:r>
      <w:r>
        <w:rPr>
          <w:spacing w:val="-15"/>
          <w:sz w:val="26"/>
        </w:rPr>
        <w:t> </w:t>
      </w:r>
      <w:r>
        <w:rPr>
          <w:sz w:val="26"/>
        </w:rPr>
        <w:t>judgment</w:t>
      </w:r>
      <w:r>
        <w:rPr>
          <w:spacing w:val="-15"/>
          <w:sz w:val="26"/>
        </w:rPr>
        <w:t> </w:t>
      </w:r>
      <w:r>
        <w:rPr>
          <w:sz w:val="26"/>
        </w:rPr>
        <w:t>were</w:t>
      </w:r>
      <w:r>
        <w:rPr>
          <w:spacing w:val="-15"/>
          <w:sz w:val="26"/>
        </w:rPr>
        <w:t> </w:t>
      </w:r>
      <w:r>
        <w:rPr>
          <w:sz w:val="26"/>
        </w:rPr>
        <w:t>not</w:t>
      </w:r>
      <w:r>
        <w:rPr>
          <w:spacing w:val="-14"/>
          <w:sz w:val="26"/>
        </w:rPr>
        <w:t> </w:t>
      </w:r>
      <w:r>
        <w:rPr>
          <w:sz w:val="26"/>
        </w:rPr>
        <w:t>pleaded</w:t>
      </w:r>
      <w:r>
        <w:rPr>
          <w:spacing w:val="-14"/>
          <w:sz w:val="26"/>
        </w:rPr>
        <w:t> </w:t>
      </w:r>
      <w:r>
        <w:rPr>
          <w:sz w:val="26"/>
        </w:rPr>
        <w:t>before</w:t>
      </w:r>
      <w:r>
        <w:rPr>
          <w:spacing w:val="-15"/>
          <w:sz w:val="26"/>
        </w:rPr>
        <w:t> </w:t>
      </w:r>
      <w:r>
        <w:rPr>
          <w:sz w:val="26"/>
        </w:rPr>
        <w:t>either</w:t>
      </w:r>
      <w:r>
        <w:rPr>
          <w:spacing w:val="-12"/>
          <w:sz w:val="26"/>
        </w:rPr>
        <w:t> </w:t>
      </w:r>
      <w:r>
        <w:rPr>
          <w:sz w:val="26"/>
        </w:rPr>
        <w:t>the</w:t>
      </w:r>
    </w:p>
    <w:p>
      <w:pPr>
        <w:spacing w:after="0" w:line="360" w:lineRule="auto"/>
        <w:jc w:val="both"/>
        <w:rPr>
          <w:sz w:val="26"/>
        </w:rPr>
        <w:sectPr>
          <w:pgSz w:w="11910" w:h="16840"/>
          <w:pgMar w:header="0" w:footer="977" w:top="880" w:bottom="1160" w:left="1340" w:right="1160"/>
        </w:sectPr>
      </w:pPr>
    </w:p>
    <w:p>
      <w:pPr>
        <w:pStyle w:val="BodyText"/>
        <w:spacing w:line="360" w:lineRule="auto" w:before="77"/>
        <w:ind w:left="100" w:right="112"/>
        <w:jc w:val="both"/>
      </w:pPr>
      <w:r>
        <w:rPr/>
        <w:t>Environment</w:t>
      </w:r>
      <w:r>
        <w:rPr>
          <w:spacing w:val="-9"/>
        </w:rPr>
        <w:t> </w:t>
      </w:r>
      <w:r>
        <w:rPr/>
        <w:t>and</w:t>
      </w:r>
      <w:r>
        <w:rPr>
          <w:spacing w:val="-7"/>
        </w:rPr>
        <w:t> </w:t>
      </w:r>
      <w:r>
        <w:rPr/>
        <w:t>Land</w:t>
      </w:r>
      <w:r>
        <w:rPr>
          <w:spacing w:val="-10"/>
        </w:rPr>
        <w:t> </w:t>
      </w:r>
      <w:r>
        <w:rPr/>
        <w:t>Court</w:t>
      </w:r>
      <w:r>
        <w:rPr>
          <w:spacing w:val="42"/>
        </w:rPr>
        <w:t> </w:t>
      </w:r>
      <w:r>
        <w:rPr/>
        <w:t>or</w:t>
      </w:r>
      <w:r>
        <w:rPr>
          <w:spacing w:val="-11"/>
        </w:rPr>
        <w:t> </w:t>
      </w:r>
      <w:r>
        <w:rPr/>
        <w:t>the</w:t>
      </w:r>
      <w:r>
        <w:rPr>
          <w:spacing w:val="-9"/>
        </w:rPr>
        <w:t> </w:t>
      </w:r>
      <w:r>
        <w:rPr/>
        <w:t>Court</w:t>
      </w:r>
      <w:r>
        <w:rPr>
          <w:spacing w:val="-11"/>
        </w:rPr>
        <w:t> </w:t>
      </w:r>
      <w:r>
        <w:rPr/>
        <w:t>of</w:t>
      </w:r>
      <w:r>
        <w:rPr>
          <w:spacing w:val="-10"/>
        </w:rPr>
        <w:t> </w:t>
      </w:r>
      <w:r>
        <w:rPr/>
        <w:t>Appeal;</w:t>
      </w:r>
      <w:r>
        <w:rPr>
          <w:spacing w:val="-9"/>
        </w:rPr>
        <w:t> </w:t>
      </w:r>
      <w:r>
        <w:rPr/>
        <w:t>that</w:t>
      </w:r>
      <w:r>
        <w:rPr>
          <w:spacing w:val="-11"/>
        </w:rPr>
        <w:t> </w:t>
      </w:r>
      <w:r>
        <w:rPr/>
        <w:t>the</w:t>
      </w:r>
      <w:r>
        <w:rPr>
          <w:spacing w:val="-12"/>
        </w:rPr>
        <w:t> </w:t>
      </w:r>
      <w:r>
        <w:rPr/>
        <w:t>applicant</w:t>
      </w:r>
      <w:r>
        <w:rPr>
          <w:spacing w:val="-10"/>
        </w:rPr>
        <w:t> </w:t>
      </w:r>
      <w:r>
        <w:rPr/>
        <w:t>filed</w:t>
      </w:r>
      <w:r>
        <w:rPr>
          <w:spacing w:val="-3"/>
        </w:rPr>
        <w:t> </w:t>
      </w:r>
      <w:r>
        <w:rPr/>
        <w:t>two independent</w:t>
      </w:r>
      <w:r>
        <w:rPr>
          <w:spacing w:val="-15"/>
        </w:rPr>
        <w:t> </w:t>
      </w:r>
      <w:r>
        <w:rPr/>
        <w:t>applications</w:t>
      </w:r>
      <w:r>
        <w:rPr>
          <w:spacing w:val="-14"/>
        </w:rPr>
        <w:t> </w:t>
      </w:r>
      <w:r>
        <w:rPr/>
        <w:t>before</w:t>
      </w:r>
      <w:r>
        <w:rPr>
          <w:spacing w:val="-14"/>
        </w:rPr>
        <w:t> </w:t>
      </w:r>
      <w:r>
        <w:rPr/>
        <w:t>the</w:t>
      </w:r>
      <w:r>
        <w:rPr>
          <w:spacing w:val="-15"/>
        </w:rPr>
        <w:t> </w:t>
      </w:r>
      <w:r>
        <w:rPr/>
        <w:t>Court</w:t>
      </w:r>
      <w:r>
        <w:rPr>
          <w:spacing w:val="-15"/>
        </w:rPr>
        <w:t> </w:t>
      </w:r>
      <w:r>
        <w:rPr/>
        <w:t>of</w:t>
      </w:r>
      <w:r>
        <w:rPr>
          <w:spacing w:val="-14"/>
        </w:rPr>
        <w:t> </w:t>
      </w:r>
      <w:r>
        <w:rPr/>
        <w:t>Appeal</w:t>
      </w:r>
      <w:r>
        <w:rPr>
          <w:spacing w:val="-14"/>
        </w:rPr>
        <w:t> </w:t>
      </w:r>
      <w:r>
        <w:rPr/>
        <w:t>dated</w:t>
      </w:r>
      <w:r>
        <w:rPr>
          <w:spacing w:val="-12"/>
        </w:rPr>
        <w:t> </w:t>
      </w:r>
      <w:r>
        <w:rPr/>
        <w:t>11</w:t>
      </w:r>
      <w:r>
        <w:rPr>
          <w:position w:val="7"/>
          <w:sz w:val="17"/>
        </w:rPr>
        <w:t>th</w:t>
      </w:r>
      <w:r>
        <w:rPr>
          <w:spacing w:val="8"/>
          <w:position w:val="7"/>
          <w:sz w:val="17"/>
        </w:rPr>
        <w:t> </w:t>
      </w:r>
      <w:r>
        <w:rPr/>
        <w:t>January</w:t>
      </w:r>
      <w:r>
        <w:rPr>
          <w:spacing w:val="-13"/>
        </w:rPr>
        <w:t> </w:t>
      </w:r>
      <w:r>
        <w:rPr/>
        <w:t>2024</w:t>
      </w:r>
      <w:r>
        <w:rPr>
          <w:spacing w:val="-14"/>
        </w:rPr>
        <w:t> </w:t>
      </w:r>
      <w:r>
        <w:rPr/>
        <w:t>and 14</w:t>
      </w:r>
      <w:r>
        <w:rPr>
          <w:position w:val="7"/>
          <w:sz w:val="17"/>
        </w:rPr>
        <w:t>th </w:t>
      </w:r>
      <w:r>
        <w:rPr/>
        <w:t>June 2024, that the two applications are separate and distinct from one another and were considered and determined separately, with the respondent having filed grounds of opposition to both of them;</w:t>
      </w:r>
      <w:r>
        <w:rPr>
          <w:spacing w:val="-3"/>
        </w:rPr>
        <w:t> </w:t>
      </w:r>
      <w:r>
        <w:rPr/>
        <w:t>and</w:t>
      </w:r>
    </w:p>
    <w:p>
      <w:pPr>
        <w:pStyle w:val="ListParagraph"/>
        <w:numPr>
          <w:ilvl w:val="0"/>
          <w:numId w:val="1"/>
        </w:numPr>
        <w:tabs>
          <w:tab w:pos="720" w:val="left" w:leader="none"/>
        </w:tabs>
        <w:spacing w:line="360" w:lineRule="auto" w:before="240" w:after="0"/>
        <w:ind w:left="100" w:right="108" w:firstLine="0"/>
        <w:jc w:val="both"/>
        <w:rPr>
          <w:sz w:val="26"/>
        </w:rPr>
      </w:pPr>
      <w:r>
        <w:rPr/>
        <w:drawing>
          <wp:anchor distT="0" distB="0" distL="0" distR="0" allowOverlap="1" layoutInCell="1" locked="0" behindDoc="1" simplePos="0" relativeHeight="251490304">
            <wp:simplePos x="0" y="0"/>
            <wp:positionH relativeFrom="page">
              <wp:posOffset>1936278</wp:posOffset>
            </wp:positionH>
            <wp:positionV relativeFrom="paragraph">
              <wp:posOffset>909585</wp:posOffset>
            </wp:positionV>
            <wp:extent cx="4159045" cy="4436566"/>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7" cstate="print"/>
                    <a:stretch>
                      <a:fillRect/>
                    </a:stretch>
                  </pic:blipFill>
                  <pic:spPr>
                    <a:xfrm>
                      <a:off x="0" y="0"/>
                      <a:ext cx="4159045" cy="4436566"/>
                    </a:xfrm>
                    <a:prstGeom prst="rect">
                      <a:avLst/>
                    </a:prstGeom>
                  </pic:spPr>
                </pic:pic>
              </a:graphicData>
            </a:graphic>
          </wp:anchor>
        </w:drawing>
      </w:r>
      <w:r>
        <w:rPr>
          <w:b/>
          <w:sz w:val="26"/>
        </w:rPr>
        <w:t>CONSIDERING </w:t>
      </w:r>
      <w:r>
        <w:rPr>
          <w:sz w:val="26"/>
        </w:rPr>
        <w:t>the respondents’ written submissions dated 26</w:t>
      </w:r>
      <w:r>
        <w:rPr>
          <w:position w:val="7"/>
          <w:sz w:val="17"/>
        </w:rPr>
        <w:t>th</w:t>
      </w:r>
      <w:r>
        <w:rPr>
          <w:sz w:val="17"/>
        </w:rPr>
        <w:t> </w:t>
      </w:r>
      <w:r>
        <w:rPr>
          <w:sz w:val="26"/>
        </w:rPr>
        <w:t>November 2024 and filed on 28</w:t>
      </w:r>
      <w:r>
        <w:rPr>
          <w:position w:val="7"/>
          <w:sz w:val="17"/>
        </w:rPr>
        <w:t>th </w:t>
      </w:r>
      <w:r>
        <w:rPr>
          <w:sz w:val="26"/>
        </w:rPr>
        <w:t>November 2024 in which they delineate two issues for determination being: whether the Court of Appeal correctly exercised its jurisdiction in declining to certify the intended appeal as a matter of general public</w:t>
      </w:r>
      <w:r>
        <w:rPr>
          <w:spacing w:val="-11"/>
          <w:sz w:val="26"/>
        </w:rPr>
        <w:t> </w:t>
      </w:r>
      <w:r>
        <w:rPr>
          <w:sz w:val="26"/>
        </w:rPr>
        <w:t>importance</w:t>
      </w:r>
      <w:r>
        <w:rPr>
          <w:spacing w:val="-9"/>
          <w:sz w:val="26"/>
        </w:rPr>
        <w:t> </w:t>
      </w:r>
      <w:r>
        <w:rPr>
          <w:sz w:val="26"/>
        </w:rPr>
        <w:t>and</w:t>
      </w:r>
      <w:r>
        <w:rPr>
          <w:spacing w:val="-11"/>
          <w:sz w:val="26"/>
        </w:rPr>
        <w:t> </w:t>
      </w:r>
      <w:r>
        <w:rPr>
          <w:sz w:val="26"/>
        </w:rPr>
        <w:t>whether</w:t>
      </w:r>
      <w:r>
        <w:rPr>
          <w:spacing w:val="-11"/>
          <w:sz w:val="26"/>
        </w:rPr>
        <w:t> </w:t>
      </w:r>
      <w:r>
        <w:rPr>
          <w:sz w:val="26"/>
        </w:rPr>
        <w:t>there</w:t>
      </w:r>
      <w:r>
        <w:rPr>
          <w:spacing w:val="-10"/>
          <w:sz w:val="26"/>
        </w:rPr>
        <w:t> </w:t>
      </w:r>
      <w:r>
        <w:rPr>
          <w:sz w:val="26"/>
        </w:rPr>
        <w:t>are</w:t>
      </w:r>
      <w:r>
        <w:rPr>
          <w:spacing w:val="-12"/>
          <w:sz w:val="26"/>
        </w:rPr>
        <w:t> </w:t>
      </w:r>
      <w:r>
        <w:rPr>
          <w:sz w:val="26"/>
        </w:rPr>
        <w:t>any</w:t>
      </w:r>
      <w:r>
        <w:rPr>
          <w:spacing w:val="-11"/>
          <w:sz w:val="26"/>
        </w:rPr>
        <w:t> </w:t>
      </w:r>
      <w:r>
        <w:rPr>
          <w:sz w:val="26"/>
        </w:rPr>
        <w:t>grounds</w:t>
      </w:r>
      <w:r>
        <w:rPr>
          <w:spacing w:val="-10"/>
          <w:sz w:val="26"/>
        </w:rPr>
        <w:t> </w:t>
      </w:r>
      <w:r>
        <w:rPr>
          <w:sz w:val="26"/>
        </w:rPr>
        <w:t>for</w:t>
      </w:r>
      <w:r>
        <w:rPr>
          <w:spacing w:val="-12"/>
          <w:sz w:val="26"/>
        </w:rPr>
        <w:t> </w:t>
      </w:r>
      <w:r>
        <w:rPr>
          <w:sz w:val="26"/>
        </w:rPr>
        <w:t>review</w:t>
      </w:r>
      <w:r>
        <w:rPr>
          <w:spacing w:val="-6"/>
          <w:sz w:val="26"/>
        </w:rPr>
        <w:t> </w:t>
      </w:r>
      <w:r>
        <w:rPr>
          <w:sz w:val="26"/>
        </w:rPr>
        <w:t>of</w:t>
      </w:r>
      <w:r>
        <w:rPr>
          <w:spacing w:val="-12"/>
          <w:sz w:val="26"/>
        </w:rPr>
        <w:t> </w:t>
      </w:r>
      <w:r>
        <w:rPr>
          <w:sz w:val="26"/>
        </w:rPr>
        <w:t>that</w:t>
      </w:r>
      <w:r>
        <w:rPr>
          <w:spacing w:val="-12"/>
          <w:sz w:val="26"/>
        </w:rPr>
        <w:t> </w:t>
      </w:r>
      <w:r>
        <w:rPr>
          <w:sz w:val="26"/>
        </w:rPr>
        <w:t>decision; and whether the proposed issues raise any matters of general public importance warranting</w:t>
      </w:r>
      <w:r>
        <w:rPr>
          <w:spacing w:val="-7"/>
          <w:sz w:val="26"/>
        </w:rPr>
        <w:t> </w:t>
      </w:r>
      <w:r>
        <w:rPr>
          <w:sz w:val="26"/>
        </w:rPr>
        <w:t>certification</w:t>
      </w:r>
      <w:r>
        <w:rPr>
          <w:spacing w:val="-9"/>
          <w:sz w:val="26"/>
        </w:rPr>
        <w:t> </w:t>
      </w:r>
      <w:r>
        <w:rPr>
          <w:sz w:val="26"/>
        </w:rPr>
        <w:t>and</w:t>
      </w:r>
      <w:r>
        <w:rPr>
          <w:spacing w:val="-10"/>
          <w:sz w:val="26"/>
        </w:rPr>
        <w:t> </w:t>
      </w:r>
      <w:r>
        <w:rPr>
          <w:sz w:val="26"/>
        </w:rPr>
        <w:t>grant</w:t>
      </w:r>
      <w:r>
        <w:rPr>
          <w:spacing w:val="-9"/>
          <w:sz w:val="26"/>
        </w:rPr>
        <w:t> </w:t>
      </w:r>
      <w:r>
        <w:rPr>
          <w:sz w:val="26"/>
        </w:rPr>
        <w:t>of</w:t>
      </w:r>
      <w:r>
        <w:rPr>
          <w:spacing w:val="-10"/>
          <w:sz w:val="26"/>
        </w:rPr>
        <w:t> </w:t>
      </w:r>
      <w:r>
        <w:rPr>
          <w:sz w:val="26"/>
        </w:rPr>
        <w:t>leave</w:t>
      </w:r>
      <w:r>
        <w:rPr>
          <w:spacing w:val="-4"/>
          <w:sz w:val="26"/>
        </w:rPr>
        <w:t> </w:t>
      </w:r>
      <w:r>
        <w:rPr>
          <w:sz w:val="26"/>
        </w:rPr>
        <w:t>by</w:t>
      </w:r>
      <w:r>
        <w:rPr>
          <w:spacing w:val="-8"/>
          <w:sz w:val="26"/>
        </w:rPr>
        <w:t> </w:t>
      </w:r>
      <w:r>
        <w:rPr>
          <w:sz w:val="26"/>
        </w:rPr>
        <w:t>this</w:t>
      </w:r>
      <w:r>
        <w:rPr>
          <w:spacing w:val="-8"/>
          <w:sz w:val="26"/>
        </w:rPr>
        <w:t> </w:t>
      </w:r>
      <w:r>
        <w:rPr>
          <w:sz w:val="26"/>
        </w:rPr>
        <w:t>Court.</w:t>
      </w:r>
      <w:r>
        <w:rPr>
          <w:spacing w:val="-2"/>
          <w:sz w:val="26"/>
        </w:rPr>
        <w:t> </w:t>
      </w:r>
      <w:r>
        <w:rPr>
          <w:sz w:val="26"/>
        </w:rPr>
        <w:t>The</w:t>
      </w:r>
      <w:r>
        <w:rPr>
          <w:spacing w:val="-7"/>
          <w:sz w:val="26"/>
        </w:rPr>
        <w:t> </w:t>
      </w:r>
      <w:r>
        <w:rPr>
          <w:sz w:val="26"/>
        </w:rPr>
        <w:t>respondents</w:t>
      </w:r>
      <w:r>
        <w:rPr>
          <w:spacing w:val="-6"/>
          <w:sz w:val="26"/>
        </w:rPr>
        <w:t> </w:t>
      </w:r>
      <w:r>
        <w:rPr>
          <w:sz w:val="26"/>
        </w:rPr>
        <w:t>in</w:t>
      </w:r>
      <w:r>
        <w:rPr>
          <w:spacing w:val="-9"/>
          <w:sz w:val="26"/>
        </w:rPr>
        <w:t> </w:t>
      </w:r>
      <w:r>
        <w:rPr>
          <w:sz w:val="26"/>
        </w:rPr>
        <w:t>that context conclude against allowing the application on both grounds adding that the Court of Appeal rightly noted that the principles in </w:t>
      </w:r>
      <w:r>
        <w:rPr>
          <w:b/>
          <w:i/>
          <w:sz w:val="26"/>
        </w:rPr>
        <w:t>Dina Management </w:t>
      </w:r>
      <w:r>
        <w:rPr>
          <w:b/>
          <w:i/>
          <w:sz w:val="26"/>
        </w:rPr>
        <w:t>Case </w:t>
      </w:r>
      <w:r>
        <w:rPr>
          <w:sz w:val="26"/>
        </w:rPr>
        <w:t>are already settled; no conflict was created regarding the provisions of section 3(3) of the Law of Contract Act; and the judgment of the Court of Appeal was consistent with the holding in </w:t>
      </w:r>
      <w:r>
        <w:rPr>
          <w:b/>
          <w:i/>
          <w:sz w:val="26"/>
        </w:rPr>
        <w:t>Peter Mbiri Michuki case </w:t>
      </w:r>
      <w:r>
        <w:rPr>
          <w:sz w:val="26"/>
        </w:rPr>
        <w:t>and distinguishable from the Court of Appeal cases cited by the applicant being </w:t>
      </w:r>
      <w:r>
        <w:rPr>
          <w:b/>
          <w:i/>
          <w:sz w:val="26"/>
        </w:rPr>
        <w:t>Sammy Mwangangi &amp; 10 others vs Commissioner of Lands &amp; 3 </w:t>
      </w:r>
      <w:r>
        <w:rPr>
          <w:b/>
          <w:i/>
          <w:sz w:val="26"/>
        </w:rPr>
        <w:t>others [2018]eKLR; Munya Maina vs Hiram Gathiha Maina </w:t>
      </w:r>
      <w:r>
        <w:rPr>
          <w:sz w:val="26"/>
        </w:rPr>
        <w:t>[2013] KECA 94 (KLR) and </w:t>
      </w:r>
      <w:r>
        <w:rPr>
          <w:b/>
          <w:i/>
          <w:sz w:val="26"/>
        </w:rPr>
        <w:t>Moses Okatch Owuor &amp; Another vs Attorney </w:t>
      </w:r>
      <w:r>
        <w:rPr>
          <w:b/>
          <w:i/>
          <w:sz w:val="26"/>
        </w:rPr>
        <w:t>General &amp; Another</w:t>
      </w:r>
      <w:r>
        <w:rPr>
          <w:b/>
          <w:i/>
          <w:spacing w:val="-3"/>
          <w:sz w:val="26"/>
        </w:rPr>
        <w:t> </w:t>
      </w:r>
      <w:r>
        <w:rPr>
          <w:sz w:val="26"/>
        </w:rPr>
        <w:t>[2017]eKLR;</w:t>
      </w:r>
    </w:p>
    <w:p>
      <w:pPr>
        <w:pStyle w:val="ListParagraph"/>
        <w:numPr>
          <w:ilvl w:val="0"/>
          <w:numId w:val="1"/>
        </w:numPr>
        <w:tabs>
          <w:tab w:pos="579" w:val="left" w:leader="none"/>
        </w:tabs>
        <w:spacing w:line="360" w:lineRule="auto" w:before="242" w:after="0"/>
        <w:ind w:left="100" w:right="114" w:firstLine="0"/>
        <w:jc w:val="both"/>
        <w:rPr>
          <w:sz w:val="26"/>
        </w:rPr>
      </w:pPr>
      <w:r>
        <w:rPr>
          <w:b/>
          <w:sz w:val="26"/>
        </w:rPr>
        <w:t>APPRECIATING </w:t>
      </w:r>
      <w:r>
        <w:rPr>
          <w:sz w:val="26"/>
        </w:rPr>
        <w:t>that the 4</w:t>
      </w:r>
      <w:r>
        <w:rPr>
          <w:position w:val="7"/>
          <w:sz w:val="17"/>
        </w:rPr>
        <w:t>th </w:t>
      </w:r>
      <w:r>
        <w:rPr>
          <w:sz w:val="26"/>
        </w:rPr>
        <w:t>respondent neither appeared nor filed any response to the application;</w:t>
      </w:r>
      <w:r>
        <w:rPr>
          <w:spacing w:val="2"/>
          <w:sz w:val="26"/>
        </w:rPr>
        <w:t> </w:t>
      </w:r>
      <w:r>
        <w:rPr>
          <w:sz w:val="26"/>
        </w:rPr>
        <w:t>and</w:t>
      </w:r>
    </w:p>
    <w:p>
      <w:pPr>
        <w:pStyle w:val="ListParagraph"/>
        <w:numPr>
          <w:ilvl w:val="0"/>
          <w:numId w:val="1"/>
        </w:numPr>
        <w:tabs>
          <w:tab w:pos="586" w:val="left" w:leader="none"/>
        </w:tabs>
        <w:spacing w:line="360" w:lineRule="auto" w:before="240" w:after="0"/>
        <w:ind w:left="100" w:right="114" w:firstLine="0"/>
        <w:jc w:val="both"/>
        <w:rPr>
          <w:sz w:val="26"/>
        </w:rPr>
      </w:pPr>
      <w:r>
        <w:rPr>
          <w:b/>
          <w:sz w:val="26"/>
        </w:rPr>
        <w:t>NOTING </w:t>
      </w:r>
      <w:r>
        <w:rPr>
          <w:sz w:val="26"/>
        </w:rPr>
        <w:t>that the dispute between the parties relates to a property known as LR No.11895/50 which the applicant avers was fraudulently registered in the 1</w:t>
      </w:r>
      <w:r>
        <w:rPr>
          <w:position w:val="7"/>
          <w:sz w:val="17"/>
        </w:rPr>
        <w:t>st </w:t>
      </w:r>
      <w:r>
        <w:rPr>
          <w:sz w:val="26"/>
        </w:rPr>
        <w:t>to 3</w:t>
      </w:r>
      <w:r>
        <w:rPr>
          <w:position w:val="7"/>
          <w:sz w:val="17"/>
        </w:rPr>
        <w:t>rd </w:t>
      </w:r>
      <w:r>
        <w:rPr>
          <w:sz w:val="26"/>
        </w:rPr>
        <w:t>respondents’ names despite the applicant having paid for it and being in occupation since the year 2010 if not earlier. Moreover, the impugned judgment by the Court of Appeal set aside the judgment that had been issued in favour of the applicant’s counterclaim by the Environment and Land Court in which the applicant</w:t>
      </w:r>
      <w:r>
        <w:rPr>
          <w:spacing w:val="14"/>
          <w:sz w:val="26"/>
        </w:rPr>
        <w:t> </w:t>
      </w:r>
      <w:r>
        <w:rPr>
          <w:sz w:val="26"/>
        </w:rPr>
        <w:t>claimed</w:t>
      </w:r>
      <w:r>
        <w:rPr>
          <w:spacing w:val="13"/>
          <w:sz w:val="26"/>
        </w:rPr>
        <w:t> </w:t>
      </w:r>
      <w:r>
        <w:rPr>
          <w:sz w:val="26"/>
        </w:rPr>
        <w:t>that</w:t>
      </w:r>
      <w:r>
        <w:rPr>
          <w:spacing w:val="11"/>
          <w:sz w:val="26"/>
        </w:rPr>
        <w:t> </w:t>
      </w:r>
      <w:r>
        <w:rPr>
          <w:sz w:val="26"/>
        </w:rPr>
        <w:t>it</w:t>
      </w:r>
      <w:r>
        <w:rPr>
          <w:spacing w:val="14"/>
          <w:sz w:val="26"/>
        </w:rPr>
        <w:t> </w:t>
      </w:r>
      <w:r>
        <w:rPr>
          <w:sz w:val="26"/>
        </w:rPr>
        <w:t>had</w:t>
      </w:r>
      <w:r>
        <w:rPr>
          <w:spacing w:val="12"/>
          <w:sz w:val="26"/>
        </w:rPr>
        <w:t> </w:t>
      </w:r>
      <w:r>
        <w:rPr>
          <w:sz w:val="26"/>
        </w:rPr>
        <w:t>acquired</w:t>
      </w:r>
      <w:r>
        <w:rPr>
          <w:spacing w:val="14"/>
          <w:sz w:val="26"/>
        </w:rPr>
        <w:t> </w:t>
      </w:r>
      <w:r>
        <w:rPr>
          <w:sz w:val="26"/>
        </w:rPr>
        <w:t>a</w:t>
      </w:r>
      <w:r>
        <w:rPr>
          <w:spacing w:val="12"/>
          <w:sz w:val="26"/>
        </w:rPr>
        <w:t> </w:t>
      </w:r>
      <w:r>
        <w:rPr>
          <w:sz w:val="26"/>
        </w:rPr>
        <w:t>legal</w:t>
      </w:r>
      <w:r>
        <w:rPr>
          <w:spacing w:val="14"/>
          <w:sz w:val="26"/>
        </w:rPr>
        <w:t> </w:t>
      </w:r>
      <w:r>
        <w:rPr>
          <w:sz w:val="26"/>
        </w:rPr>
        <w:t>and</w:t>
      </w:r>
      <w:r>
        <w:rPr>
          <w:spacing w:val="14"/>
          <w:sz w:val="26"/>
        </w:rPr>
        <w:t> </w:t>
      </w:r>
      <w:r>
        <w:rPr>
          <w:sz w:val="26"/>
        </w:rPr>
        <w:t>beneficial</w:t>
      </w:r>
      <w:r>
        <w:rPr>
          <w:spacing w:val="14"/>
          <w:sz w:val="26"/>
        </w:rPr>
        <w:t> </w:t>
      </w:r>
      <w:r>
        <w:rPr>
          <w:sz w:val="26"/>
        </w:rPr>
        <w:t>interest</w:t>
      </w:r>
      <w:r>
        <w:rPr>
          <w:spacing w:val="12"/>
          <w:sz w:val="26"/>
        </w:rPr>
        <w:t> </w:t>
      </w:r>
      <w:r>
        <w:rPr>
          <w:sz w:val="26"/>
        </w:rPr>
        <w:t>in</w:t>
      </w:r>
      <w:r>
        <w:rPr>
          <w:spacing w:val="12"/>
          <w:sz w:val="26"/>
        </w:rPr>
        <w:t> </w:t>
      </w:r>
      <w:r>
        <w:rPr>
          <w:sz w:val="26"/>
        </w:rPr>
        <w:t>the</w:t>
      </w:r>
      <w:r>
        <w:rPr>
          <w:spacing w:val="12"/>
          <w:sz w:val="26"/>
        </w:rPr>
        <w:t> </w:t>
      </w:r>
      <w:r>
        <w:rPr>
          <w:sz w:val="26"/>
        </w:rPr>
        <w:t>suit</w:t>
      </w:r>
    </w:p>
    <w:p>
      <w:pPr>
        <w:spacing w:after="0" w:line="360" w:lineRule="auto"/>
        <w:jc w:val="both"/>
        <w:rPr>
          <w:sz w:val="26"/>
        </w:rPr>
        <w:sectPr>
          <w:pgSz w:w="11910" w:h="16840"/>
          <w:pgMar w:header="0" w:footer="977" w:top="880" w:bottom="1160" w:left="1340" w:right="1160"/>
        </w:sectPr>
      </w:pPr>
    </w:p>
    <w:p>
      <w:pPr>
        <w:pStyle w:val="BodyText"/>
        <w:spacing w:line="360" w:lineRule="auto" w:before="77"/>
        <w:ind w:left="100" w:right="111"/>
        <w:jc w:val="both"/>
      </w:pPr>
      <w:r>
        <w:rPr/>
        <w:t>property accruing from LR No.11895/11 (part). On its part, the 1</w:t>
      </w:r>
      <w:r>
        <w:rPr>
          <w:position w:val="7"/>
          <w:sz w:val="17"/>
        </w:rPr>
        <w:t>st </w:t>
      </w:r>
      <w:r>
        <w:rPr/>
        <w:t>to 3</w:t>
      </w:r>
      <w:r>
        <w:rPr>
          <w:position w:val="7"/>
          <w:sz w:val="17"/>
        </w:rPr>
        <w:t>rd </w:t>
      </w:r>
      <w:r>
        <w:rPr/>
        <w:t>respondents averred that they are the registered owners of the suit property purchased from the 4</w:t>
      </w:r>
      <w:r>
        <w:rPr>
          <w:position w:val="7"/>
          <w:sz w:val="17"/>
        </w:rPr>
        <w:t>th </w:t>
      </w:r>
      <w:r>
        <w:rPr/>
        <w:t>respondent and the applicant had trespassed therein prompting the filing of the suit before the Environment and Land Court; and</w:t>
      </w:r>
    </w:p>
    <w:p>
      <w:pPr>
        <w:pStyle w:val="ListParagraph"/>
        <w:numPr>
          <w:ilvl w:val="0"/>
          <w:numId w:val="1"/>
        </w:numPr>
        <w:tabs>
          <w:tab w:pos="574" w:val="left" w:leader="none"/>
        </w:tabs>
        <w:spacing w:line="360" w:lineRule="auto" w:before="239" w:after="0"/>
        <w:ind w:left="100" w:right="111" w:firstLine="0"/>
        <w:jc w:val="both"/>
        <w:rPr>
          <w:sz w:val="26"/>
        </w:rPr>
      </w:pPr>
      <w:r>
        <w:rPr/>
        <w:drawing>
          <wp:anchor distT="0" distB="0" distL="0" distR="0" allowOverlap="1" layoutInCell="1" locked="0" behindDoc="1" simplePos="0" relativeHeight="251491328">
            <wp:simplePos x="0" y="0"/>
            <wp:positionH relativeFrom="page">
              <wp:posOffset>1936278</wp:posOffset>
            </wp:positionH>
            <wp:positionV relativeFrom="paragraph">
              <wp:posOffset>1190890</wp:posOffset>
            </wp:positionV>
            <wp:extent cx="4159045" cy="4436566"/>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7" cstate="print"/>
                    <a:stretch>
                      <a:fillRect/>
                    </a:stretch>
                  </pic:blipFill>
                  <pic:spPr>
                    <a:xfrm>
                      <a:off x="0" y="0"/>
                      <a:ext cx="4159045" cy="4436566"/>
                    </a:xfrm>
                    <a:prstGeom prst="rect">
                      <a:avLst/>
                    </a:prstGeom>
                  </pic:spPr>
                </pic:pic>
              </a:graphicData>
            </a:graphic>
          </wp:anchor>
        </w:drawing>
      </w:r>
      <w:r>
        <w:rPr>
          <w:b/>
          <w:sz w:val="26"/>
        </w:rPr>
        <w:t>TAKING INTO ACCOUNT </w:t>
      </w:r>
      <w:r>
        <w:rPr>
          <w:sz w:val="26"/>
        </w:rPr>
        <w:t>this Court’s guiding principles for certifying a matter as that involving general public importance set out in </w:t>
      </w:r>
      <w:r>
        <w:rPr>
          <w:b/>
          <w:i/>
          <w:sz w:val="26"/>
        </w:rPr>
        <w:t>Hermanus </w:t>
      </w:r>
      <w:r>
        <w:rPr>
          <w:b/>
          <w:i/>
          <w:sz w:val="26"/>
        </w:rPr>
        <w:t>Phillipus Steyn case </w:t>
      </w:r>
      <w:r>
        <w:rPr>
          <w:sz w:val="26"/>
        </w:rPr>
        <w:t>and having considered the application, affidavits and submissions filed, we </w:t>
      </w:r>
      <w:r>
        <w:rPr>
          <w:b/>
          <w:sz w:val="26"/>
        </w:rPr>
        <w:t>NOW OPINE </w:t>
      </w:r>
      <w:r>
        <w:rPr>
          <w:sz w:val="26"/>
        </w:rPr>
        <w:t>as</w:t>
      </w:r>
      <w:r>
        <w:rPr>
          <w:spacing w:val="-1"/>
          <w:sz w:val="26"/>
        </w:rPr>
        <w:t> </w:t>
      </w:r>
      <w:r>
        <w:rPr>
          <w:sz w:val="26"/>
        </w:rPr>
        <w:t>follows:</w:t>
      </w:r>
    </w:p>
    <w:p>
      <w:pPr>
        <w:pStyle w:val="ListParagraph"/>
        <w:numPr>
          <w:ilvl w:val="1"/>
          <w:numId w:val="1"/>
        </w:numPr>
        <w:tabs>
          <w:tab w:pos="1157" w:val="left" w:leader="none"/>
        </w:tabs>
        <w:spacing w:line="360" w:lineRule="auto" w:before="1" w:after="0"/>
        <w:ind w:left="1094" w:right="107" w:hanging="711"/>
        <w:jc w:val="both"/>
        <w:rPr>
          <w:sz w:val="26"/>
        </w:rPr>
      </w:pPr>
      <w:r>
        <w:rPr/>
        <w:tab/>
      </w:r>
      <w:r>
        <w:rPr>
          <w:sz w:val="26"/>
        </w:rPr>
        <w:t>The dispute relates to the ownership of a parcel of land accruing from the 4</w:t>
      </w:r>
      <w:r>
        <w:rPr>
          <w:position w:val="7"/>
          <w:sz w:val="17"/>
        </w:rPr>
        <w:t>th </w:t>
      </w:r>
      <w:r>
        <w:rPr>
          <w:sz w:val="26"/>
        </w:rPr>
        <w:t>respondent. The 1</w:t>
      </w:r>
      <w:r>
        <w:rPr>
          <w:position w:val="7"/>
          <w:sz w:val="17"/>
        </w:rPr>
        <w:t>st </w:t>
      </w:r>
      <w:r>
        <w:rPr>
          <w:sz w:val="26"/>
        </w:rPr>
        <w:t>to 3</w:t>
      </w:r>
      <w:r>
        <w:rPr>
          <w:position w:val="7"/>
          <w:sz w:val="17"/>
        </w:rPr>
        <w:t>rd </w:t>
      </w:r>
      <w:r>
        <w:rPr>
          <w:sz w:val="26"/>
        </w:rPr>
        <w:t>respondents moved to assert their ownership in LR No.11895/50 (the suit property) by filing </w:t>
      </w:r>
      <w:r>
        <w:rPr>
          <w:b/>
          <w:i/>
          <w:sz w:val="26"/>
        </w:rPr>
        <w:t>ELC Case </w:t>
      </w:r>
      <w:r>
        <w:rPr>
          <w:b/>
          <w:i/>
          <w:sz w:val="26"/>
        </w:rPr>
        <w:t>No.365 of 2010 Harish Ramji &amp; 2 others v Mombasa Cement Limited &amp; Another </w:t>
      </w:r>
      <w:r>
        <w:rPr>
          <w:sz w:val="26"/>
        </w:rPr>
        <w:t>seeking an injunction against the applicant from trespassing on the same. The said respondents traced their ownership from</w:t>
      </w:r>
      <w:r>
        <w:rPr>
          <w:spacing w:val="-14"/>
          <w:sz w:val="26"/>
        </w:rPr>
        <w:t> </w:t>
      </w:r>
      <w:r>
        <w:rPr>
          <w:sz w:val="26"/>
        </w:rPr>
        <w:t>an</w:t>
      </w:r>
      <w:r>
        <w:rPr>
          <w:spacing w:val="-15"/>
          <w:sz w:val="26"/>
        </w:rPr>
        <w:t> </w:t>
      </w:r>
      <w:r>
        <w:rPr>
          <w:sz w:val="26"/>
        </w:rPr>
        <w:t>offer</w:t>
      </w:r>
      <w:r>
        <w:rPr>
          <w:spacing w:val="-16"/>
          <w:sz w:val="26"/>
        </w:rPr>
        <w:t> </w:t>
      </w:r>
      <w:r>
        <w:rPr>
          <w:sz w:val="26"/>
        </w:rPr>
        <w:t>letter</w:t>
      </w:r>
      <w:r>
        <w:rPr>
          <w:spacing w:val="-16"/>
          <w:sz w:val="26"/>
        </w:rPr>
        <w:t> </w:t>
      </w:r>
      <w:r>
        <w:rPr>
          <w:sz w:val="26"/>
        </w:rPr>
        <w:t>dated</w:t>
      </w:r>
      <w:r>
        <w:rPr>
          <w:spacing w:val="-16"/>
          <w:sz w:val="26"/>
        </w:rPr>
        <w:t> </w:t>
      </w:r>
      <w:r>
        <w:rPr>
          <w:sz w:val="26"/>
        </w:rPr>
        <w:t>20</w:t>
      </w:r>
      <w:r>
        <w:rPr>
          <w:position w:val="7"/>
          <w:sz w:val="17"/>
        </w:rPr>
        <w:t>th</w:t>
      </w:r>
      <w:r>
        <w:rPr>
          <w:spacing w:val="6"/>
          <w:position w:val="7"/>
          <w:sz w:val="17"/>
        </w:rPr>
        <w:t> </w:t>
      </w:r>
      <w:r>
        <w:rPr>
          <w:sz w:val="26"/>
        </w:rPr>
        <w:t>December</w:t>
      </w:r>
      <w:r>
        <w:rPr>
          <w:spacing w:val="-14"/>
          <w:sz w:val="26"/>
        </w:rPr>
        <w:t> </w:t>
      </w:r>
      <w:r>
        <w:rPr>
          <w:sz w:val="26"/>
        </w:rPr>
        <w:t>2006</w:t>
      </w:r>
      <w:r>
        <w:rPr>
          <w:spacing w:val="-15"/>
          <w:sz w:val="26"/>
        </w:rPr>
        <w:t> </w:t>
      </w:r>
      <w:r>
        <w:rPr>
          <w:sz w:val="26"/>
        </w:rPr>
        <w:t>in</w:t>
      </w:r>
      <w:r>
        <w:rPr>
          <w:spacing w:val="-15"/>
          <w:sz w:val="26"/>
        </w:rPr>
        <w:t> </w:t>
      </w:r>
      <w:r>
        <w:rPr>
          <w:sz w:val="26"/>
        </w:rPr>
        <w:t>which</w:t>
      </w:r>
      <w:r>
        <w:rPr>
          <w:spacing w:val="-16"/>
          <w:sz w:val="26"/>
        </w:rPr>
        <w:t> </w:t>
      </w:r>
      <w:r>
        <w:rPr>
          <w:sz w:val="26"/>
        </w:rPr>
        <w:t>the</w:t>
      </w:r>
      <w:r>
        <w:rPr>
          <w:spacing w:val="-16"/>
          <w:sz w:val="26"/>
        </w:rPr>
        <w:t> </w:t>
      </w:r>
      <w:r>
        <w:rPr>
          <w:sz w:val="26"/>
        </w:rPr>
        <w:t>suit</w:t>
      </w:r>
      <w:r>
        <w:rPr>
          <w:spacing w:val="-13"/>
          <w:sz w:val="26"/>
        </w:rPr>
        <w:t> </w:t>
      </w:r>
      <w:r>
        <w:rPr>
          <w:sz w:val="26"/>
        </w:rPr>
        <w:t>property was to be excised out of LR No.11895/24 but the sale was stopped by a consent entered into in </w:t>
      </w:r>
      <w:r>
        <w:rPr>
          <w:b/>
          <w:i/>
          <w:sz w:val="26"/>
        </w:rPr>
        <w:t>HCCC No.22 of 2007, Harp Investco </w:t>
      </w:r>
      <w:r>
        <w:rPr>
          <w:b/>
          <w:i/>
          <w:sz w:val="26"/>
        </w:rPr>
        <w:t>Limited v NSSF, the Commissioner of Lands, the Registrar of Titles and Golden Terrace on 16</w:t>
      </w:r>
      <w:r>
        <w:rPr>
          <w:b/>
          <w:i/>
          <w:position w:val="7"/>
          <w:sz w:val="17"/>
        </w:rPr>
        <w:t>th </w:t>
      </w:r>
      <w:r>
        <w:rPr>
          <w:b/>
          <w:i/>
          <w:sz w:val="26"/>
        </w:rPr>
        <w:t>June</w:t>
      </w:r>
      <w:r>
        <w:rPr>
          <w:b/>
          <w:i/>
          <w:spacing w:val="-27"/>
          <w:sz w:val="26"/>
        </w:rPr>
        <w:t> </w:t>
      </w:r>
      <w:r>
        <w:rPr>
          <w:b/>
          <w:i/>
          <w:sz w:val="26"/>
        </w:rPr>
        <w:t>2010</w:t>
      </w:r>
      <w:r>
        <w:rPr>
          <w:sz w:val="26"/>
        </w:rPr>
        <w:t>.</w:t>
      </w:r>
    </w:p>
    <w:p>
      <w:pPr>
        <w:pStyle w:val="ListParagraph"/>
        <w:numPr>
          <w:ilvl w:val="1"/>
          <w:numId w:val="1"/>
        </w:numPr>
        <w:tabs>
          <w:tab w:pos="1094" w:val="left" w:leader="none"/>
        </w:tabs>
        <w:spacing w:line="360" w:lineRule="auto" w:before="1" w:after="0"/>
        <w:ind w:left="1094" w:right="111" w:hanging="711"/>
        <w:jc w:val="both"/>
        <w:rPr>
          <w:sz w:val="26"/>
        </w:rPr>
      </w:pPr>
      <w:r>
        <w:rPr>
          <w:sz w:val="26"/>
        </w:rPr>
        <w:t>The applicant filed a counterclaim asserting that the suit property had been</w:t>
      </w:r>
      <w:r>
        <w:rPr>
          <w:spacing w:val="-13"/>
          <w:sz w:val="26"/>
        </w:rPr>
        <w:t> </w:t>
      </w:r>
      <w:r>
        <w:rPr>
          <w:sz w:val="26"/>
        </w:rPr>
        <w:t>fraudulently</w:t>
      </w:r>
      <w:r>
        <w:rPr>
          <w:spacing w:val="-14"/>
          <w:sz w:val="26"/>
        </w:rPr>
        <w:t> </w:t>
      </w:r>
      <w:r>
        <w:rPr>
          <w:sz w:val="26"/>
        </w:rPr>
        <w:t>registered</w:t>
      </w:r>
      <w:r>
        <w:rPr>
          <w:spacing w:val="-14"/>
          <w:sz w:val="26"/>
        </w:rPr>
        <w:t> </w:t>
      </w:r>
      <w:r>
        <w:rPr>
          <w:sz w:val="26"/>
        </w:rPr>
        <w:t>to</w:t>
      </w:r>
      <w:r>
        <w:rPr>
          <w:spacing w:val="-15"/>
          <w:sz w:val="26"/>
        </w:rPr>
        <w:t> </w:t>
      </w:r>
      <w:r>
        <w:rPr>
          <w:sz w:val="26"/>
        </w:rPr>
        <w:t>the</w:t>
      </w:r>
      <w:r>
        <w:rPr>
          <w:spacing w:val="-14"/>
          <w:sz w:val="26"/>
        </w:rPr>
        <w:t> </w:t>
      </w:r>
      <w:r>
        <w:rPr>
          <w:sz w:val="26"/>
        </w:rPr>
        <w:t>1</w:t>
      </w:r>
      <w:r>
        <w:rPr>
          <w:position w:val="7"/>
          <w:sz w:val="17"/>
        </w:rPr>
        <w:t>st</w:t>
      </w:r>
      <w:r>
        <w:rPr>
          <w:spacing w:val="7"/>
          <w:position w:val="7"/>
          <w:sz w:val="17"/>
        </w:rPr>
        <w:t> </w:t>
      </w:r>
      <w:r>
        <w:rPr>
          <w:sz w:val="26"/>
        </w:rPr>
        <w:t>to</w:t>
      </w:r>
      <w:r>
        <w:rPr>
          <w:spacing w:val="-16"/>
          <w:sz w:val="26"/>
        </w:rPr>
        <w:t> </w:t>
      </w:r>
      <w:r>
        <w:rPr>
          <w:sz w:val="26"/>
        </w:rPr>
        <w:t>3</w:t>
      </w:r>
      <w:r>
        <w:rPr>
          <w:position w:val="7"/>
          <w:sz w:val="17"/>
        </w:rPr>
        <w:t>rd</w:t>
      </w:r>
      <w:r>
        <w:rPr>
          <w:spacing w:val="9"/>
          <w:position w:val="7"/>
          <w:sz w:val="17"/>
        </w:rPr>
        <w:t> </w:t>
      </w:r>
      <w:r>
        <w:rPr>
          <w:sz w:val="26"/>
        </w:rPr>
        <w:t>respondents.</w:t>
      </w:r>
      <w:r>
        <w:rPr>
          <w:spacing w:val="-14"/>
          <w:sz w:val="26"/>
        </w:rPr>
        <w:t> </w:t>
      </w:r>
      <w:r>
        <w:rPr>
          <w:sz w:val="26"/>
        </w:rPr>
        <w:t>This</w:t>
      </w:r>
      <w:r>
        <w:rPr>
          <w:spacing w:val="-15"/>
          <w:sz w:val="26"/>
        </w:rPr>
        <w:t> </w:t>
      </w:r>
      <w:r>
        <w:rPr>
          <w:sz w:val="26"/>
        </w:rPr>
        <w:t>was</w:t>
      </w:r>
      <w:r>
        <w:rPr>
          <w:spacing w:val="-14"/>
          <w:sz w:val="26"/>
        </w:rPr>
        <w:t> </w:t>
      </w:r>
      <w:r>
        <w:rPr>
          <w:sz w:val="26"/>
        </w:rPr>
        <w:t>on</w:t>
      </w:r>
      <w:r>
        <w:rPr>
          <w:spacing w:val="-14"/>
          <w:sz w:val="26"/>
        </w:rPr>
        <w:t> </w:t>
      </w:r>
      <w:r>
        <w:rPr>
          <w:sz w:val="26"/>
        </w:rPr>
        <w:t>the basis that the applicant was registered as proprietor of LR No.11895/25 (a sub-division of LR No.11895/24) and that on 26</w:t>
      </w:r>
      <w:r>
        <w:rPr>
          <w:position w:val="7"/>
          <w:sz w:val="17"/>
        </w:rPr>
        <w:t>th </w:t>
      </w:r>
      <w:r>
        <w:rPr>
          <w:sz w:val="26"/>
        </w:rPr>
        <w:t>November 2006, NSSF</w:t>
      </w:r>
      <w:r>
        <w:rPr>
          <w:spacing w:val="-9"/>
          <w:sz w:val="26"/>
        </w:rPr>
        <w:t> </w:t>
      </w:r>
      <w:r>
        <w:rPr>
          <w:sz w:val="26"/>
        </w:rPr>
        <w:t>offered</w:t>
      </w:r>
      <w:r>
        <w:rPr>
          <w:spacing w:val="-10"/>
          <w:sz w:val="26"/>
        </w:rPr>
        <w:t> </w:t>
      </w:r>
      <w:r>
        <w:rPr>
          <w:sz w:val="26"/>
        </w:rPr>
        <w:t>to</w:t>
      </w:r>
      <w:r>
        <w:rPr>
          <w:spacing w:val="-10"/>
          <w:sz w:val="26"/>
        </w:rPr>
        <w:t> </w:t>
      </w:r>
      <w:r>
        <w:rPr>
          <w:sz w:val="26"/>
        </w:rPr>
        <w:t>sell</w:t>
      </w:r>
      <w:r>
        <w:rPr>
          <w:spacing w:val="-10"/>
          <w:sz w:val="26"/>
        </w:rPr>
        <w:t> </w:t>
      </w:r>
      <w:r>
        <w:rPr>
          <w:sz w:val="26"/>
        </w:rPr>
        <w:t>to</w:t>
      </w:r>
      <w:r>
        <w:rPr>
          <w:spacing w:val="-9"/>
          <w:sz w:val="26"/>
        </w:rPr>
        <w:t> </w:t>
      </w:r>
      <w:r>
        <w:rPr>
          <w:sz w:val="26"/>
        </w:rPr>
        <w:t>the</w:t>
      </w:r>
      <w:r>
        <w:rPr>
          <w:spacing w:val="-8"/>
          <w:sz w:val="26"/>
        </w:rPr>
        <w:t> </w:t>
      </w:r>
      <w:r>
        <w:rPr>
          <w:sz w:val="26"/>
        </w:rPr>
        <w:t>applicant</w:t>
      </w:r>
      <w:r>
        <w:rPr>
          <w:spacing w:val="-7"/>
          <w:sz w:val="26"/>
        </w:rPr>
        <w:t> </w:t>
      </w:r>
      <w:r>
        <w:rPr>
          <w:sz w:val="26"/>
        </w:rPr>
        <w:t>a</w:t>
      </w:r>
      <w:r>
        <w:rPr>
          <w:spacing w:val="-10"/>
          <w:sz w:val="26"/>
        </w:rPr>
        <w:t> </w:t>
      </w:r>
      <w:r>
        <w:rPr>
          <w:sz w:val="26"/>
        </w:rPr>
        <w:t>portion</w:t>
      </w:r>
      <w:r>
        <w:rPr>
          <w:spacing w:val="-5"/>
          <w:sz w:val="26"/>
        </w:rPr>
        <w:t> </w:t>
      </w:r>
      <w:r>
        <w:rPr>
          <w:sz w:val="26"/>
        </w:rPr>
        <w:t>thereof;</w:t>
      </w:r>
      <w:r>
        <w:rPr>
          <w:spacing w:val="-7"/>
          <w:sz w:val="26"/>
        </w:rPr>
        <w:t> </w:t>
      </w:r>
      <w:r>
        <w:rPr>
          <w:sz w:val="26"/>
        </w:rPr>
        <w:t>and</w:t>
      </w:r>
      <w:r>
        <w:rPr>
          <w:spacing w:val="-8"/>
          <w:sz w:val="26"/>
        </w:rPr>
        <w:t> </w:t>
      </w:r>
      <w:r>
        <w:rPr>
          <w:sz w:val="26"/>
        </w:rPr>
        <w:t>the</w:t>
      </w:r>
      <w:r>
        <w:rPr>
          <w:spacing w:val="-10"/>
          <w:sz w:val="26"/>
        </w:rPr>
        <w:t> </w:t>
      </w:r>
      <w:r>
        <w:rPr>
          <w:sz w:val="26"/>
        </w:rPr>
        <w:t>applicant succeeded in its counterclaim before the Environment and Land Court prompting</w:t>
      </w:r>
      <w:r>
        <w:rPr>
          <w:spacing w:val="-10"/>
          <w:sz w:val="26"/>
        </w:rPr>
        <w:t> </w:t>
      </w:r>
      <w:r>
        <w:rPr>
          <w:sz w:val="26"/>
        </w:rPr>
        <w:t>the</w:t>
      </w:r>
      <w:r>
        <w:rPr>
          <w:spacing w:val="-9"/>
          <w:sz w:val="26"/>
        </w:rPr>
        <w:t> </w:t>
      </w:r>
      <w:r>
        <w:rPr>
          <w:sz w:val="26"/>
        </w:rPr>
        <w:t>appeal</w:t>
      </w:r>
      <w:r>
        <w:rPr>
          <w:spacing w:val="-11"/>
          <w:sz w:val="26"/>
        </w:rPr>
        <w:t> </w:t>
      </w:r>
      <w:r>
        <w:rPr>
          <w:sz w:val="26"/>
        </w:rPr>
        <w:t>by</w:t>
      </w:r>
      <w:r>
        <w:rPr>
          <w:spacing w:val="-9"/>
          <w:sz w:val="26"/>
        </w:rPr>
        <w:t> </w:t>
      </w:r>
      <w:r>
        <w:rPr>
          <w:sz w:val="26"/>
        </w:rPr>
        <w:t>the</w:t>
      </w:r>
      <w:r>
        <w:rPr>
          <w:spacing w:val="-10"/>
          <w:sz w:val="26"/>
        </w:rPr>
        <w:t> </w:t>
      </w:r>
      <w:r>
        <w:rPr>
          <w:sz w:val="26"/>
        </w:rPr>
        <w:t>1</w:t>
      </w:r>
      <w:r>
        <w:rPr>
          <w:position w:val="7"/>
          <w:sz w:val="17"/>
        </w:rPr>
        <w:t>st</w:t>
      </w:r>
      <w:r>
        <w:rPr>
          <w:spacing w:val="12"/>
          <w:position w:val="7"/>
          <w:sz w:val="17"/>
        </w:rPr>
        <w:t> </w:t>
      </w:r>
      <w:r>
        <w:rPr>
          <w:sz w:val="26"/>
        </w:rPr>
        <w:t>to</w:t>
      </w:r>
      <w:r>
        <w:rPr>
          <w:spacing w:val="-12"/>
          <w:sz w:val="26"/>
        </w:rPr>
        <w:t> </w:t>
      </w:r>
      <w:r>
        <w:rPr>
          <w:sz w:val="26"/>
        </w:rPr>
        <w:t>3</w:t>
      </w:r>
      <w:r>
        <w:rPr>
          <w:position w:val="7"/>
          <w:sz w:val="17"/>
        </w:rPr>
        <w:t>rd</w:t>
      </w:r>
      <w:r>
        <w:rPr>
          <w:spacing w:val="11"/>
          <w:position w:val="7"/>
          <w:sz w:val="17"/>
        </w:rPr>
        <w:t> </w:t>
      </w:r>
      <w:r>
        <w:rPr>
          <w:sz w:val="26"/>
        </w:rPr>
        <w:t>respondents,</w:t>
      </w:r>
      <w:r>
        <w:rPr>
          <w:spacing w:val="-9"/>
          <w:sz w:val="26"/>
        </w:rPr>
        <w:t> </w:t>
      </w:r>
      <w:r>
        <w:rPr>
          <w:sz w:val="26"/>
        </w:rPr>
        <w:t>resulting</w:t>
      </w:r>
      <w:r>
        <w:rPr>
          <w:spacing w:val="-10"/>
          <w:sz w:val="26"/>
        </w:rPr>
        <w:t> </w:t>
      </w:r>
      <w:r>
        <w:rPr>
          <w:sz w:val="26"/>
        </w:rPr>
        <w:t>to</w:t>
      </w:r>
      <w:r>
        <w:rPr>
          <w:spacing w:val="-10"/>
          <w:sz w:val="26"/>
        </w:rPr>
        <w:t> </w:t>
      </w:r>
      <w:r>
        <w:rPr>
          <w:sz w:val="26"/>
        </w:rPr>
        <w:t>the</w:t>
      </w:r>
      <w:r>
        <w:rPr>
          <w:spacing w:val="-9"/>
          <w:sz w:val="26"/>
        </w:rPr>
        <w:t> </w:t>
      </w:r>
      <w:r>
        <w:rPr>
          <w:sz w:val="26"/>
        </w:rPr>
        <w:t>Court of Appeal overturning the decision of the Environment and Land</w:t>
      </w:r>
      <w:r>
        <w:rPr>
          <w:spacing w:val="-43"/>
          <w:sz w:val="26"/>
        </w:rPr>
        <w:t> </w:t>
      </w:r>
      <w:r>
        <w:rPr>
          <w:sz w:val="26"/>
        </w:rPr>
        <w:t>Court.</w:t>
      </w:r>
    </w:p>
    <w:p>
      <w:pPr>
        <w:pStyle w:val="ListParagraph"/>
        <w:numPr>
          <w:ilvl w:val="1"/>
          <w:numId w:val="1"/>
        </w:numPr>
        <w:tabs>
          <w:tab w:pos="1094" w:val="left" w:leader="none"/>
        </w:tabs>
        <w:spacing w:line="360" w:lineRule="auto" w:before="1" w:after="0"/>
        <w:ind w:left="1094" w:right="110" w:hanging="711"/>
        <w:jc w:val="both"/>
        <w:rPr>
          <w:sz w:val="26"/>
        </w:rPr>
      </w:pPr>
      <w:r>
        <w:rPr>
          <w:sz w:val="26"/>
        </w:rPr>
        <w:t>The applicant takes issue with the Court of Appeal’s failure to make a finding of fraud and instead making </w:t>
      </w:r>
      <w:r>
        <w:rPr>
          <w:spacing w:val="2"/>
          <w:sz w:val="26"/>
        </w:rPr>
        <w:t>an </w:t>
      </w:r>
      <w:r>
        <w:rPr>
          <w:sz w:val="26"/>
        </w:rPr>
        <w:t>allegedly speculative and erroneous assumption to the effect that there seemed a rather obvious clerical error in the Transfer Deed; this was despite the self-evident fraud</w:t>
      </w:r>
      <w:r>
        <w:rPr>
          <w:spacing w:val="-12"/>
          <w:sz w:val="26"/>
        </w:rPr>
        <w:t> </w:t>
      </w:r>
      <w:r>
        <w:rPr>
          <w:sz w:val="26"/>
        </w:rPr>
        <w:t>manifested</w:t>
      </w:r>
      <w:r>
        <w:rPr>
          <w:spacing w:val="-11"/>
          <w:sz w:val="26"/>
        </w:rPr>
        <w:t> </w:t>
      </w:r>
      <w:r>
        <w:rPr>
          <w:sz w:val="26"/>
        </w:rPr>
        <w:t>in</w:t>
      </w:r>
      <w:r>
        <w:rPr>
          <w:spacing w:val="-10"/>
          <w:sz w:val="26"/>
        </w:rPr>
        <w:t> </w:t>
      </w:r>
      <w:r>
        <w:rPr>
          <w:sz w:val="26"/>
        </w:rPr>
        <w:t>the</w:t>
      </w:r>
      <w:r>
        <w:rPr>
          <w:spacing w:val="-12"/>
          <w:sz w:val="26"/>
        </w:rPr>
        <w:t> </w:t>
      </w:r>
      <w:r>
        <w:rPr>
          <w:sz w:val="26"/>
        </w:rPr>
        <w:t>transfer</w:t>
      </w:r>
      <w:r>
        <w:rPr>
          <w:spacing w:val="-12"/>
          <w:sz w:val="26"/>
        </w:rPr>
        <w:t> </w:t>
      </w:r>
      <w:r>
        <w:rPr>
          <w:sz w:val="26"/>
        </w:rPr>
        <w:t>deed</w:t>
      </w:r>
      <w:r>
        <w:rPr>
          <w:spacing w:val="-11"/>
          <w:sz w:val="26"/>
        </w:rPr>
        <w:t> </w:t>
      </w:r>
      <w:r>
        <w:rPr>
          <w:sz w:val="26"/>
        </w:rPr>
        <w:t>given</w:t>
      </w:r>
      <w:r>
        <w:rPr>
          <w:spacing w:val="-10"/>
          <w:sz w:val="26"/>
        </w:rPr>
        <w:t> </w:t>
      </w:r>
      <w:r>
        <w:rPr>
          <w:sz w:val="26"/>
        </w:rPr>
        <w:t>that</w:t>
      </w:r>
      <w:r>
        <w:rPr>
          <w:spacing w:val="-10"/>
          <w:sz w:val="26"/>
        </w:rPr>
        <w:t> </w:t>
      </w:r>
      <w:r>
        <w:rPr>
          <w:sz w:val="26"/>
        </w:rPr>
        <w:t>the</w:t>
      </w:r>
      <w:r>
        <w:rPr>
          <w:spacing w:val="-12"/>
          <w:sz w:val="26"/>
        </w:rPr>
        <w:t> </w:t>
      </w:r>
      <w:r>
        <w:rPr>
          <w:sz w:val="26"/>
        </w:rPr>
        <w:t>operative</w:t>
      </w:r>
      <w:r>
        <w:rPr>
          <w:spacing w:val="-12"/>
          <w:sz w:val="26"/>
        </w:rPr>
        <w:t> </w:t>
      </w:r>
      <w:r>
        <w:rPr>
          <w:sz w:val="26"/>
        </w:rPr>
        <w:t>part</w:t>
      </w:r>
      <w:r>
        <w:rPr>
          <w:spacing w:val="-10"/>
          <w:sz w:val="26"/>
        </w:rPr>
        <w:t> </w:t>
      </w:r>
      <w:r>
        <w:rPr>
          <w:sz w:val="26"/>
        </w:rPr>
        <w:t>of</w:t>
      </w:r>
      <w:r>
        <w:rPr>
          <w:spacing w:val="-13"/>
          <w:sz w:val="26"/>
        </w:rPr>
        <w:t> </w:t>
      </w:r>
      <w:r>
        <w:rPr>
          <w:sz w:val="26"/>
        </w:rPr>
        <w:t>the</w:t>
      </w:r>
    </w:p>
    <w:p>
      <w:pPr>
        <w:spacing w:after="0" w:line="360" w:lineRule="auto"/>
        <w:jc w:val="both"/>
        <w:rPr>
          <w:sz w:val="26"/>
        </w:rPr>
        <w:sectPr>
          <w:pgSz w:w="11910" w:h="16840"/>
          <w:pgMar w:header="0" w:footer="977" w:top="880" w:bottom="1160" w:left="1340" w:right="1160"/>
        </w:sectPr>
      </w:pPr>
    </w:p>
    <w:p>
      <w:pPr>
        <w:pStyle w:val="BodyText"/>
        <w:spacing w:line="360" w:lineRule="auto" w:before="77"/>
        <w:ind w:left="1094" w:right="116"/>
        <w:jc w:val="both"/>
      </w:pPr>
      <w:r>
        <w:rPr/>
        <w:t>Transfer Deed which transferred LR No.11895/48 (and not LR No. 11895/50) appeared on the execution page that had been sealed and executed by the parties whilst none of the other pages that referred to LR No.11895/50 had been signed, initialed or sealed to confirm their authenticity; and</w:t>
      </w:r>
    </w:p>
    <w:p>
      <w:pPr>
        <w:pStyle w:val="ListParagraph"/>
        <w:numPr>
          <w:ilvl w:val="1"/>
          <w:numId w:val="1"/>
        </w:numPr>
        <w:tabs>
          <w:tab w:pos="1094" w:val="left" w:leader="none"/>
        </w:tabs>
        <w:spacing w:line="360" w:lineRule="auto" w:before="0" w:after="0"/>
        <w:ind w:left="1094" w:right="110" w:hanging="711"/>
        <w:jc w:val="both"/>
        <w:rPr>
          <w:sz w:val="26"/>
        </w:rPr>
      </w:pPr>
      <w:r>
        <w:rPr/>
        <w:drawing>
          <wp:anchor distT="0" distB="0" distL="0" distR="0" allowOverlap="1" layoutInCell="1" locked="0" behindDoc="1" simplePos="0" relativeHeight="251492352">
            <wp:simplePos x="0" y="0"/>
            <wp:positionH relativeFrom="page">
              <wp:posOffset>1936278</wp:posOffset>
            </wp:positionH>
            <wp:positionV relativeFrom="paragraph">
              <wp:posOffset>909585</wp:posOffset>
            </wp:positionV>
            <wp:extent cx="4159045" cy="4436566"/>
            <wp:effectExtent l="0" t="0" r="0" b="0"/>
            <wp:wrapNone/>
            <wp:docPr id="13" name="image2.jpeg"/>
            <wp:cNvGraphicFramePr>
              <a:graphicFrameLocks noChangeAspect="1"/>
            </wp:cNvGraphicFramePr>
            <a:graphic>
              <a:graphicData uri="http://schemas.openxmlformats.org/drawingml/2006/picture">
                <pic:pic>
                  <pic:nvPicPr>
                    <pic:cNvPr id="14" name="image2.jpeg"/>
                    <pic:cNvPicPr/>
                  </pic:nvPicPr>
                  <pic:blipFill>
                    <a:blip r:embed="rId7" cstate="print"/>
                    <a:stretch>
                      <a:fillRect/>
                    </a:stretch>
                  </pic:blipFill>
                  <pic:spPr>
                    <a:xfrm>
                      <a:off x="0" y="0"/>
                      <a:ext cx="4159045" cy="4436566"/>
                    </a:xfrm>
                    <a:prstGeom prst="rect">
                      <a:avLst/>
                    </a:prstGeom>
                  </pic:spPr>
                </pic:pic>
              </a:graphicData>
            </a:graphic>
          </wp:anchor>
        </w:drawing>
      </w:r>
      <w:r>
        <w:rPr>
          <w:sz w:val="26"/>
        </w:rPr>
        <w:t>The issues for determination in the substantive appeal before the Court of</w:t>
      </w:r>
      <w:r>
        <w:rPr>
          <w:spacing w:val="-9"/>
          <w:sz w:val="26"/>
        </w:rPr>
        <w:t> </w:t>
      </w:r>
      <w:r>
        <w:rPr>
          <w:sz w:val="26"/>
        </w:rPr>
        <w:t>Appeal</w:t>
      </w:r>
      <w:r>
        <w:rPr>
          <w:spacing w:val="-5"/>
          <w:sz w:val="26"/>
        </w:rPr>
        <w:t> </w:t>
      </w:r>
      <w:r>
        <w:rPr>
          <w:sz w:val="26"/>
        </w:rPr>
        <w:t>revolved</w:t>
      </w:r>
      <w:r>
        <w:rPr>
          <w:spacing w:val="-8"/>
          <w:sz w:val="26"/>
        </w:rPr>
        <w:t> </w:t>
      </w:r>
      <w:r>
        <w:rPr>
          <w:sz w:val="26"/>
        </w:rPr>
        <w:t>around</w:t>
      </w:r>
      <w:r>
        <w:rPr>
          <w:spacing w:val="-8"/>
          <w:sz w:val="26"/>
        </w:rPr>
        <w:t> </w:t>
      </w:r>
      <w:r>
        <w:rPr>
          <w:sz w:val="26"/>
        </w:rPr>
        <w:t>the</w:t>
      </w:r>
      <w:r>
        <w:rPr>
          <w:spacing w:val="-9"/>
          <w:sz w:val="26"/>
        </w:rPr>
        <w:t> </w:t>
      </w:r>
      <w:r>
        <w:rPr>
          <w:sz w:val="26"/>
        </w:rPr>
        <w:t>validity</w:t>
      </w:r>
      <w:r>
        <w:rPr>
          <w:spacing w:val="-8"/>
          <w:sz w:val="26"/>
        </w:rPr>
        <w:t> </w:t>
      </w:r>
      <w:r>
        <w:rPr>
          <w:sz w:val="26"/>
        </w:rPr>
        <w:t>of</w:t>
      </w:r>
      <w:r>
        <w:rPr>
          <w:spacing w:val="-7"/>
          <w:sz w:val="26"/>
        </w:rPr>
        <w:t> </w:t>
      </w:r>
      <w:r>
        <w:rPr>
          <w:sz w:val="26"/>
        </w:rPr>
        <w:t>the</w:t>
      </w:r>
      <w:r>
        <w:rPr>
          <w:spacing w:val="-8"/>
          <w:sz w:val="26"/>
        </w:rPr>
        <w:t> </w:t>
      </w:r>
      <w:r>
        <w:rPr>
          <w:sz w:val="26"/>
        </w:rPr>
        <w:t>title</w:t>
      </w:r>
      <w:r>
        <w:rPr>
          <w:spacing w:val="-7"/>
          <w:sz w:val="26"/>
        </w:rPr>
        <w:t> </w:t>
      </w:r>
      <w:r>
        <w:rPr>
          <w:sz w:val="26"/>
        </w:rPr>
        <w:t>to</w:t>
      </w:r>
      <w:r>
        <w:rPr>
          <w:spacing w:val="-6"/>
          <w:sz w:val="26"/>
        </w:rPr>
        <w:t> </w:t>
      </w:r>
      <w:r>
        <w:rPr>
          <w:sz w:val="26"/>
        </w:rPr>
        <w:t>the</w:t>
      </w:r>
      <w:r>
        <w:rPr>
          <w:spacing w:val="-9"/>
          <w:sz w:val="26"/>
        </w:rPr>
        <w:t> </w:t>
      </w:r>
      <w:r>
        <w:rPr>
          <w:sz w:val="26"/>
        </w:rPr>
        <w:t>suit</w:t>
      </w:r>
      <w:r>
        <w:rPr>
          <w:spacing w:val="-6"/>
          <w:sz w:val="26"/>
        </w:rPr>
        <w:t> </w:t>
      </w:r>
      <w:r>
        <w:rPr>
          <w:sz w:val="26"/>
        </w:rPr>
        <w:t>property.</w:t>
      </w:r>
      <w:r>
        <w:rPr>
          <w:spacing w:val="-9"/>
          <w:sz w:val="26"/>
        </w:rPr>
        <w:t> </w:t>
      </w:r>
      <w:r>
        <w:rPr>
          <w:sz w:val="26"/>
        </w:rPr>
        <w:t>In addressing the appeal, the court interrogated whether the 1</w:t>
      </w:r>
      <w:r>
        <w:rPr>
          <w:position w:val="7"/>
          <w:sz w:val="17"/>
        </w:rPr>
        <w:t>st </w:t>
      </w:r>
      <w:r>
        <w:rPr>
          <w:sz w:val="26"/>
        </w:rPr>
        <w:t>to 3</w:t>
      </w:r>
      <w:r>
        <w:rPr>
          <w:position w:val="7"/>
          <w:sz w:val="17"/>
        </w:rPr>
        <w:t>rd</w:t>
      </w:r>
      <w:r>
        <w:rPr>
          <w:sz w:val="17"/>
        </w:rPr>
        <w:t> </w:t>
      </w:r>
      <w:r>
        <w:rPr>
          <w:sz w:val="26"/>
        </w:rPr>
        <w:t>respondents acquired a valid title to the suit property; whether the applicant has any proprietary interest over the suit property and whether the counterclaim by the applicant was</w:t>
      </w:r>
      <w:r>
        <w:rPr>
          <w:spacing w:val="-6"/>
          <w:sz w:val="26"/>
        </w:rPr>
        <w:t> </w:t>
      </w:r>
      <w:r>
        <w:rPr>
          <w:sz w:val="26"/>
        </w:rPr>
        <w:t>meritorious.</w:t>
      </w:r>
    </w:p>
    <w:p>
      <w:pPr>
        <w:pStyle w:val="ListParagraph"/>
        <w:numPr>
          <w:ilvl w:val="1"/>
          <w:numId w:val="1"/>
        </w:numPr>
        <w:tabs>
          <w:tab w:pos="1094" w:val="left" w:leader="none"/>
        </w:tabs>
        <w:spacing w:line="360" w:lineRule="auto" w:before="1" w:after="0"/>
        <w:ind w:left="1094" w:right="110" w:hanging="711"/>
        <w:jc w:val="both"/>
        <w:rPr>
          <w:sz w:val="26"/>
        </w:rPr>
      </w:pPr>
      <w:r>
        <w:rPr>
          <w:sz w:val="26"/>
        </w:rPr>
        <w:t>In</w:t>
      </w:r>
      <w:r>
        <w:rPr>
          <w:spacing w:val="-16"/>
          <w:sz w:val="26"/>
        </w:rPr>
        <w:t> </w:t>
      </w:r>
      <w:r>
        <w:rPr>
          <w:sz w:val="26"/>
        </w:rPr>
        <w:t>its</w:t>
      </w:r>
      <w:r>
        <w:rPr>
          <w:spacing w:val="-16"/>
          <w:sz w:val="26"/>
        </w:rPr>
        <w:t> </w:t>
      </w:r>
      <w:r>
        <w:rPr>
          <w:sz w:val="26"/>
        </w:rPr>
        <w:t>application</w:t>
      </w:r>
      <w:r>
        <w:rPr>
          <w:spacing w:val="-15"/>
          <w:sz w:val="26"/>
        </w:rPr>
        <w:t> </w:t>
      </w:r>
      <w:r>
        <w:rPr>
          <w:sz w:val="26"/>
        </w:rPr>
        <w:t>before</w:t>
      </w:r>
      <w:r>
        <w:rPr>
          <w:spacing w:val="-14"/>
          <w:sz w:val="26"/>
        </w:rPr>
        <w:t> </w:t>
      </w:r>
      <w:r>
        <w:rPr>
          <w:sz w:val="26"/>
        </w:rPr>
        <w:t>the</w:t>
      </w:r>
      <w:r>
        <w:rPr>
          <w:spacing w:val="-15"/>
          <w:sz w:val="26"/>
        </w:rPr>
        <w:t> </w:t>
      </w:r>
      <w:r>
        <w:rPr>
          <w:sz w:val="26"/>
        </w:rPr>
        <w:t>Court</w:t>
      </w:r>
      <w:r>
        <w:rPr>
          <w:spacing w:val="-17"/>
          <w:sz w:val="26"/>
        </w:rPr>
        <w:t> </w:t>
      </w:r>
      <w:r>
        <w:rPr>
          <w:sz w:val="26"/>
        </w:rPr>
        <w:t>of</w:t>
      </w:r>
      <w:r>
        <w:rPr>
          <w:spacing w:val="-15"/>
          <w:sz w:val="26"/>
        </w:rPr>
        <w:t> </w:t>
      </w:r>
      <w:r>
        <w:rPr>
          <w:sz w:val="26"/>
        </w:rPr>
        <w:t>Appeal,</w:t>
      </w:r>
      <w:r>
        <w:rPr>
          <w:spacing w:val="-16"/>
          <w:sz w:val="26"/>
        </w:rPr>
        <w:t> </w:t>
      </w:r>
      <w:r>
        <w:rPr>
          <w:sz w:val="26"/>
        </w:rPr>
        <w:t>the</w:t>
      </w:r>
      <w:r>
        <w:rPr>
          <w:spacing w:val="-14"/>
          <w:sz w:val="26"/>
        </w:rPr>
        <w:t> </w:t>
      </w:r>
      <w:r>
        <w:rPr>
          <w:sz w:val="26"/>
        </w:rPr>
        <w:t>applicant</w:t>
      </w:r>
      <w:r>
        <w:rPr>
          <w:spacing w:val="-10"/>
          <w:sz w:val="26"/>
        </w:rPr>
        <w:t> </w:t>
      </w:r>
      <w:r>
        <w:rPr>
          <w:sz w:val="26"/>
        </w:rPr>
        <w:t>framed</w:t>
      </w:r>
      <w:r>
        <w:rPr>
          <w:spacing w:val="-16"/>
          <w:sz w:val="26"/>
        </w:rPr>
        <w:t> </w:t>
      </w:r>
      <w:r>
        <w:rPr>
          <w:sz w:val="26"/>
        </w:rPr>
        <w:t>a</w:t>
      </w:r>
      <w:r>
        <w:rPr>
          <w:spacing w:val="-15"/>
          <w:sz w:val="26"/>
        </w:rPr>
        <w:t> </w:t>
      </w:r>
      <w:r>
        <w:rPr>
          <w:sz w:val="26"/>
        </w:rPr>
        <w:t>total of seven questions as raising issues of general public importance. These issues coalesce around fraud in relation to indefeasibility of title. The applicant submits that the Court of Appeal failed to consider a manifest fraud</w:t>
      </w:r>
      <w:r>
        <w:rPr>
          <w:spacing w:val="-7"/>
          <w:sz w:val="26"/>
        </w:rPr>
        <w:t> </w:t>
      </w:r>
      <w:r>
        <w:rPr>
          <w:sz w:val="26"/>
        </w:rPr>
        <w:t>on</w:t>
      </w:r>
      <w:r>
        <w:rPr>
          <w:spacing w:val="-5"/>
          <w:sz w:val="26"/>
        </w:rPr>
        <w:t> </w:t>
      </w:r>
      <w:r>
        <w:rPr>
          <w:sz w:val="26"/>
        </w:rPr>
        <w:t>the</w:t>
      </w:r>
      <w:r>
        <w:rPr>
          <w:spacing w:val="-4"/>
          <w:sz w:val="26"/>
        </w:rPr>
        <w:t> </w:t>
      </w:r>
      <w:r>
        <w:rPr>
          <w:sz w:val="26"/>
        </w:rPr>
        <w:t>transfer</w:t>
      </w:r>
      <w:r>
        <w:rPr>
          <w:spacing w:val="-5"/>
          <w:sz w:val="26"/>
        </w:rPr>
        <w:t> </w:t>
      </w:r>
      <w:r>
        <w:rPr>
          <w:sz w:val="26"/>
        </w:rPr>
        <w:t>deed</w:t>
      </w:r>
      <w:r>
        <w:rPr>
          <w:spacing w:val="-4"/>
          <w:sz w:val="26"/>
        </w:rPr>
        <w:t> </w:t>
      </w:r>
      <w:r>
        <w:rPr>
          <w:sz w:val="26"/>
        </w:rPr>
        <w:t>by</w:t>
      </w:r>
      <w:r>
        <w:rPr>
          <w:spacing w:val="-6"/>
          <w:sz w:val="26"/>
        </w:rPr>
        <w:t> </w:t>
      </w:r>
      <w:r>
        <w:rPr>
          <w:sz w:val="26"/>
        </w:rPr>
        <w:t>instead</w:t>
      </w:r>
      <w:r>
        <w:rPr>
          <w:spacing w:val="-7"/>
          <w:sz w:val="26"/>
        </w:rPr>
        <w:t> </w:t>
      </w:r>
      <w:r>
        <w:rPr>
          <w:sz w:val="26"/>
        </w:rPr>
        <w:t>finding</w:t>
      </w:r>
      <w:r>
        <w:rPr>
          <w:spacing w:val="-7"/>
          <w:sz w:val="26"/>
        </w:rPr>
        <w:t> </w:t>
      </w:r>
      <w:r>
        <w:rPr>
          <w:sz w:val="26"/>
        </w:rPr>
        <w:t>that</w:t>
      </w:r>
      <w:r>
        <w:rPr>
          <w:spacing w:val="-7"/>
          <w:sz w:val="26"/>
        </w:rPr>
        <w:t> </w:t>
      </w:r>
      <w:r>
        <w:rPr>
          <w:sz w:val="26"/>
        </w:rPr>
        <w:t>the</w:t>
      </w:r>
      <w:r>
        <w:rPr>
          <w:spacing w:val="-7"/>
          <w:sz w:val="26"/>
        </w:rPr>
        <w:t> </w:t>
      </w:r>
      <w:r>
        <w:rPr>
          <w:sz w:val="26"/>
        </w:rPr>
        <w:t>discrepancy</w:t>
      </w:r>
      <w:r>
        <w:rPr>
          <w:spacing w:val="-7"/>
          <w:sz w:val="26"/>
        </w:rPr>
        <w:t> </w:t>
      </w:r>
      <w:r>
        <w:rPr>
          <w:sz w:val="26"/>
        </w:rPr>
        <w:t>noted on the transfer deed was a “clerical error”. In our view, this is a factual determination about a specific property. It is our finding that fraud is a factual question to be determined on the basis of evidence adduced in a matter</w:t>
      </w:r>
      <w:r>
        <w:rPr>
          <w:spacing w:val="-7"/>
          <w:sz w:val="26"/>
        </w:rPr>
        <w:t> </w:t>
      </w:r>
      <w:r>
        <w:rPr>
          <w:sz w:val="26"/>
        </w:rPr>
        <w:t>before</w:t>
      </w:r>
      <w:r>
        <w:rPr>
          <w:spacing w:val="-7"/>
          <w:sz w:val="26"/>
        </w:rPr>
        <w:t> </w:t>
      </w:r>
      <w:r>
        <w:rPr>
          <w:sz w:val="26"/>
        </w:rPr>
        <w:t>a</w:t>
      </w:r>
      <w:r>
        <w:rPr>
          <w:spacing w:val="-10"/>
          <w:sz w:val="26"/>
        </w:rPr>
        <w:t> </w:t>
      </w:r>
      <w:r>
        <w:rPr>
          <w:sz w:val="26"/>
        </w:rPr>
        <w:t>court</w:t>
      </w:r>
      <w:r>
        <w:rPr>
          <w:spacing w:val="-5"/>
          <w:sz w:val="26"/>
        </w:rPr>
        <w:t> </w:t>
      </w:r>
      <w:r>
        <w:rPr>
          <w:sz w:val="26"/>
        </w:rPr>
        <w:t>from</w:t>
      </w:r>
      <w:r>
        <w:rPr>
          <w:spacing w:val="-7"/>
          <w:sz w:val="26"/>
        </w:rPr>
        <w:t> </w:t>
      </w:r>
      <w:r>
        <w:rPr>
          <w:sz w:val="26"/>
        </w:rPr>
        <w:t>time</w:t>
      </w:r>
      <w:r>
        <w:rPr>
          <w:spacing w:val="-7"/>
          <w:sz w:val="26"/>
        </w:rPr>
        <w:t> </w:t>
      </w:r>
      <w:r>
        <w:rPr>
          <w:sz w:val="26"/>
        </w:rPr>
        <w:t>to</w:t>
      </w:r>
      <w:r>
        <w:rPr>
          <w:spacing w:val="-7"/>
          <w:sz w:val="26"/>
        </w:rPr>
        <w:t> </w:t>
      </w:r>
      <w:r>
        <w:rPr>
          <w:sz w:val="26"/>
        </w:rPr>
        <w:t>time.</w:t>
      </w:r>
      <w:r>
        <w:rPr>
          <w:spacing w:val="-5"/>
          <w:sz w:val="26"/>
        </w:rPr>
        <w:t> </w:t>
      </w:r>
      <w:r>
        <w:rPr>
          <w:sz w:val="26"/>
        </w:rPr>
        <w:t>Beyond</w:t>
      </w:r>
      <w:r>
        <w:rPr>
          <w:spacing w:val="-6"/>
          <w:sz w:val="26"/>
        </w:rPr>
        <w:t> </w:t>
      </w:r>
      <w:r>
        <w:rPr>
          <w:sz w:val="26"/>
        </w:rPr>
        <w:t>a</w:t>
      </w:r>
      <w:r>
        <w:rPr>
          <w:spacing w:val="-8"/>
          <w:sz w:val="26"/>
        </w:rPr>
        <w:t> </w:t>
      </w:r>
      <w:r>
        <w:rPr>
          <w:sz w:val="26"/>
        </w:rPr>
        <w:t>general</w:t>
      </w:r>
      <w:r>
        <w:rPr>
          <w:spacing w:val="-8"/>
          <w:sz w:val="26"/>
        </w:rPr>
        <w:t> </w:t>
      </w:r>
      <w:r>
        <w:rPr>
          <w:sz w:val="26"/>
        </w:rPr>
        <w:t>statement,</w:t>
      </w:r>
      <w:r>
        <w:rPr>
          <w:spacing w:val="-7"/>
          <w:sz w:val="26"/>
        </w:rPr>
        <w:t> </w:t>
      </w:r>
      <w:r>
        <w:rPr>
          <w:sz w:val="26"/>
        </w:rPr>
        <w:t>no evidence was produced to demonstrate how this issue transcends the present parties. As the judges of appeal rightly noted, this Court has in </w:t>
      </w:r>
      <w:r>
        <w:rPr>
          <w:b/>
          <w:i/>
          <w:sz w:val="26"/>
        </w:rPr>
        <w:t>Dina</w:t>
      </w:r>
      <w:r>
        <w:rPr>
          <w:b/>
          <w:i/>
          <w:spacing w:val="-7"/>
          <w:sz w:val="26"/>
        </w:rPr>
        <w:t> </w:t>
      </w:r>
      <w:r>
        <w:rPr>
          <w:b/>
          <w:i/>
          <w:sz w:val="26"/>
        </w:rPr>
        <w:t>Management</w:t>
      </w:r>
      <w:r>
        <w:rPr>
          <w:b/>
          <w:i/>
          <w:spacing w:val="-6"/>
          <w:sz w:val="26"/>
        </w:rPr>
        <w:t> </w:t>
      </w:r>
      <w:r>
        <w:rPr>
          <w:b/>
          <w:i/>
          <w:sz w:val="26"/>
        </w:rPr>
        <w:t>Case</w:t>
      </w:r>
      <w:r>
        <w:rPr>
          <w:b/>
          <w:i/>
          <w:spacing w:val="-7"/>
          <w:sz w:val="26"/>
        </w:rPr>
        <w:t> </w:t>
      </w:r>
      <w:r>
        <w:rPr>
          <w:sz w:val="26"/>
        </w:rPr>
        <w:t>settled</w:t>
      </w:r>
      <w:r>
        <w:rPr>
          <w:spacing w:val="-5"/>
          <w:sz w:val="26"/>
        </w:rPr>
        <w:t> </w:t>
      </w:r>
      <w:r>
        <w:rPr>
          <w:sz w:val="26"/>
        </w:rPr>
        <w:t>the</w:t>
      </w:r>
      <w:r>
        <w:rPr>
          <w:spacing w:val="-6"/>
          <w:sz w:val="26"/>
        </w:rPr>
        <w:t> </w:t>
      </w:r>
      <w:r>
        <w:rPr>
          <w:sz w:val="26"/>
        </w:rPr>
        <w:t>issue.</w:t>
      </w:r>
      <w:r>
        <w:rPr>
          <w:spacing w:val="-4"/>
          <w:sz w:val="26"/>
        </w:rPr>
        <w:t> </w:t>
      </w:r>
      <w:r>
        <w:rPr>
          <w:sz w:val="26"/>
        </w:rPr>
        <w:t>We</w:t>
      </w:r>
      <w:r>
        <w:rPr>
          <w:spacing w:val="-4"/>
          <w:sz w:val="26"/>
        </w:rPr>
        <w:t> </w:t>
      </w:r>
      <w:r>
        <w:rPr>
          <w:sz w:val="26"/>
        </w:rPr>
        <w:t>add</w:t>
      </w:r>
      <w:r>
        <w:rPr>
          <w:spacing w:val="-5"/>
          <w:sz w:val="26"/>
        </w:rPr>
        <w:t> </w:t>
      </w:r>
      <w:r>
        <w:rPr>
          <w:sz w:val="26"/>
        </w:rPr>
        <w:t>that</w:t>
      </w:r>
      <w:r>
        <w:rPr>
          <w:spacing w:val="-7"/>
          <w:sz w:val="26"/>
        </w:rPr>
        <w:t> </w:t>
      </w:r>
      <w:r>
        <w:rPr>
          <w:sz w:val="26"/>
        </w:rPr>
        <w:t>the</w:t>
      </w:r>
      <w:r>
        <w:rPr>
          <w:spacing w:val="-6"/>
          <w:sz w:val="26"/>
        </w:rPr>
        <w:t> </w:t>
      </w:r>
      <w:r>
        <w:rPr>
          <w:sz w:val="26"/>
        </w:rPr>
        <w:t>applicant is not asking the Court to reconsider the settled position but seems aggrieved</w:t>
      </w:r>
      <w:r>
        <w:rPr>
          <w:spacing w:val="-15"/>
          <w:sz w:val="26"/>
        </w:rPr>
        <w:t> </w:t>
      </w:r>
      <w:r>
        <w:rPr>
          <w:sz w:val="26"/>
        </w:rPr>
        <w:t>by</w:t>
      </w:r>
      <w:r>
        <w:rPr>
          <w:spacing w:val="-15"/>
          <w:sz w:val="26"/>
        </w:rPr>
        <w:t> </w:t>
      </w:r>
      <w:r>
        <w:rPr>
          <w:sz w:val="26"/>
        </w:rPr>
        <w:t>the</w:t>
      </w:r>
      <w:r>
        <w:rPr>
          <w:spacing w:val="-14"/>
          <w:sz w:val="26"/>
        </w:rPr>
        <w:t> </w:t>
      </w:r>
      <w:r>
        <w:rPr>
          <w:sz w:val="26"/>
        </w:rPr>
        <w:t>finding</w:t>
      </w:r>
      <w:r>
        <w:rPr>
          <w:spacing w:val="-14"/>
          <w:sz w:val="26"/>
        </w:rPr>
        <w:t> </w:t>
      </w:r>
      <w:r>
        <w:rPr>
          <w:sz w:val="26"/>
        </w:rPr>
        <w:t>of</w:t>
      </w:r>
      <w:r>
        <w:rPr>
          <w:spacing w:val="-14"/>
          <w:sz w:val="26"/>
        </w:rPr>
        <w:t> </w:t>
      </w:r>
      <w:r>
        <w:rPr>
          <w:sz w:val="26"/>
        </w:rPr>
        <w:t>the</w:t>
      </w:r>
      <w:r>
        <w:rPr>
          <w:spacing w:val="-13"/>
          <w:sz w:val="26"/>
        </w:rPr>
        <w:t> </w:t>
      </w:r>
      <w:r>
        <w:rPr>
          <w:sz w:val="26"/>
        </w:rPr>
        <w:t>Court</w:t>
      </w:r>
      <w:r>
        <w:rPr>
          <w:spacing w:val="-12"/>
          <w:sz w:val="26"/>
        </w:rPr>
        <w:t> </w:t>
      </w:r>
      <w:r>
        <w:rPr>
          <w:sz w:val="26"/>
        </w:rPr>
        <w:t>of</w:t>
      </w:r>
      <w:r>
        <w:rPr>
          <w:spacing w:val="-15"/>
          <w:sz w:val="26"/>
        </w:rPr>
        <w:t> </w:t>
      </w:r>
      <w:r>
        <w:rPr>
          <w:sz w:val="26"/>
        </w:rPr>
        <w:t>Appeal.</w:t>
      </w:r>
      <w:r>
        <w:rPr>
          <w:spacing w:val="-10"/>
          <w:sz w:val="26"/>
        </w:rPr>
        <w:t> </w:t>
      </w:r>
      <w:r>
        <w:rPr>
          <w:sz w:val="26"/>
        </w:rPr>
        <w:t>It</w:t>
      </w:r>
      <w:r>
        <w:rPr>
          <w:spacing w:val="-14"/>
          <w:sz w:val="26"/>
        </w:rPr>
        <w:t> </w:t>
      </w:r>
      <w:r>
        <w:rPr>
          <w:sz w:val="26"/>
        </w:rPr>
        <w:t>is</w:t>
      </w:r>
      <w:r>
        <w:rPr>
          <w:spacing w:val="-14"/>
          <w:sz w:val="26"/>
        </w:rPr>
        <w:t> </w:t>
      </w:r>
      <w:r>
        <w:rPr>
          <w:sz w:val="26"/>
        </w:rPr>
        <w:t>well</w:t>
      </w:r>
      <w:r>
        <w:rPr>
          <w:spacing w:val="-14"/>
          <w:sz w:val="26"/>
        </w:rPr>
        <w:t> </w:t>
      </w:r>
      <w:r>
        <w:rPr>
          <w:sz w:val="26"/>
        </w:rPr>
        <w:t>established</w:t>
      </w:r>
      <w:r>
        <w:rPr>
          <w:spacing w:val="-14"/>
          <w:sz w:val="26"/>
        </w:rPr>
        <w:t> </w:t>
      </w:r>
      <w:r>
        <w:rPr>
          <w:sz w:val="26"/>
        </w:rPr>
        <w:t>that questions of fraud require to be not only pleaded but also particularized with sufficient</w:t>
      </w:r>
      <w:r>
        <w:rPr>
          <w:spacing w:val="-3"/>
          <w:sz w:val="26"/>
        </w:rPr>
        <w:t> </w:t>
      </w:r>
      <w:r>
        <w:rPr>
          <w:sz w:val="26"/>
        </w:rPr>
        <w:t>specificity.</w:t>
      </w:r>
    </w:p>
    <w:p>
      <w:pPr>
        <w:pStyle w:val="ListParagraph"/>
        <w:numPr>
          <w:ilvl w:val="1"/>
          <w:numId w:val="1"/>
        </w:numPr>
        <w:tabs>
          <w:tab w:pos="1094" w:val="left" w:leader="none"/>
        </w:tabs>
        <w:spacing w:line="360" w:lineRule="auto" w:before="1" w:after="0"/>
        <w:ind w:left="1094" w:right="109" w:hanging="711"/>
        <w:jc w:val="both"/>
        <w:rPr>
          <w:sz w:val="26"/>
        </w:rPr>
      </w:pPr>
      <w:r>
        <w:rPr>
          <w:sz w:val="26"/>
        </w:rPr>
        <w:t>It is also noted that the applicant has made an attempt to substantiate the</w:t>
      </w:r>
      <w:r>
        <w:rPr>
          <w:spacing w:val="-14"/>
          <w:sz w:val="26"/>
        </w:rPr>
        <w:t> </w:t>
      </w:r>
      <w:r>
        <w:rPr>
          <w:sz w:val="26"/>
        </w:rPr>
        <w:t>allegation</w:t>
      </w:r>
      <w:r>
        <w:rPr>
          <w:spacing w:val="-12"/>
          <w:sz w:val="26"/>
        </w:rPr>
        <w:t> </w:t>
      </w:r>
      <w:r>
        <w:rPr>
          <w:sz w:val="26"/>
        </w:rPr>
        <w:t>of</w:t>
      </w:r>
      <w:r>
        <w:rPr>
          <w:spacing w:val="-13"/>
          <w:sz w:val="26"/>
        </w:rPr>
        <w:t> </w:t>
      </w:r>
      <w:r>
        <w:rPr>
          <w:sz w:val="26"/>
        </w:rPr>
        <w:t>fraud</w:t>
      </w:r>
      <w:r>
        <w:rPr>
          <w:spacing w:val="-12"/>
          <w:sz w:val="26"/>
        </w:rPr>
        <w:t> </w:t>
      </w:r>
      <w:r>
        <w:rPr>
          <w:sz w:val="26"/>
        </w:rPr>
        <w:t>by</w:t>
      </w:r>
      <w:r>
        <w:rPr>
          <w:spacing w:val="-12"/>
          <w:sz w:val="26"/>
        </w:rPr>
        <w:t> </w:t>
      </w:r>
      <w:r>
        <w:rPr>
          <w:sz w:val="26"/>
        </w:rPr>
        <w:t>filing</w:t>
      </w:r>
      <w:r>
        <w:rPr>
          <w:spacing w:val="-15"/>
          <w:sz w:val="26"/>
        </w:rPr>
        <w:t> </w:t>
      </w:r>
      <w:r>
        <w:rPr>
          <w:sz w:val="26"/>
        </w:rPr>
        <w:t>an</w:t>
      </w:r>
      <w:r>
        <w:rPr>
          <w:spacing w:val="-12"/>
          <w:sz w:val="26"/>
        </w:rPr>
        <w:t> </w:t>
      </w:r>
      <w:r>
        <w:rPr>
          <w:sz w:val="26"/>
        </w:rPr>
        <w:t>application</w:t>
      </w:r>
      <w:r>
        <w:rPr>
          <w:spacing w:val="-12"/>
          <w:sz w:val="26"/>
        </w:rPr>
        <w:t> </w:t>
      </w:r>
      <w:r>
        <w:rPr>
          <w:sz w:val="26"/>
        </w:rPr>
        <w:t>before</w:t>
      </w:r>
      <w:r>
        <w:rPr>
          <w:spacing w:val="-15"/>
          <w:sz w:val="26"/>
        </w:rPr>
        <w:t> </w:t>
      </w:r>
      <w:r>
        <w:rPr>
          <w:sz w:val="26"/>
        </w:rPr>
        <w:t>the</w:t>
      </w:r>
      <w:r>
        <w:rPr>
          <w:spacing w:val="-13"/>
          <w:sz w:val="26"/>
        </w:rPr>
        <w:t> </w:t>
      </w:r>
      <w:r>
        <w:rPr>
          <w:sz w:val="26"/>
        </w:rPr>
        <w:t>Court</w:t>
      </w:r>
      <w:r>
        <w:rPr>
          <w:spacing w:val="-13"/>
          <w:sz w:val="26"/>
        </w:rPr>
        <w:t> </w:t>
      </w:r>
      <w:r>
        <w:rPr>
          <w:sz w:val="26"/>
        </w:rPr>
        <w:t>of</w:t>
      </w:r>
      <w:r>
        <w:rPr>
          <w:spacing w:val="-13"/>
          <w:sz w:val="26"/>
        </w:rPr>
        <w:t> </w:t>
      </w:r>
      <w:r>
        <w:rPr>
          <w:sz w:val="26"/>
        </w:rPr>
        <w:t>Appeal introducing the additional evidence in its possession. We have to agree that the application is separate and distinct from the application for certification and it is to be handled to its own conclusion. However, we note</w:t>
      </w:r>
      <w:r>
        <w:rPr>
          <w:spacing w:val="18"/>
          <w:sz w:val="26"/>
        </w:rPr>
        <w:t> </w:t>
      </w:r>
      <w:r>
        <w:rPr>
          <w:sz w:val="26"/>
        </w:rPr>
        <w:t>that</w:t>
      </w:r>
      <w:r>
        <w:rPr>
          <w:spacing w:val="19"/>
          <w:sz w:val="26"/>
        </w:rPr>
        <w:t> </w:t>
      </w:r>
      <w:r>
        <w:rPr>
          <w:sz w:val="26"/>
        </w:rPr>
        <w:t>in</w:t>
      </w:r>
      <w:r>
        <w:rPr>
          <w:spacing w:val="18"/>
          <w:sz w:val="26"/>
        </w:rPr>
        <w:t> </w:t>
      </w:r>
      <w:r>
        <w:rPr>
          <w:sz w:val="26"/>
        </w:rPr>
        <w:t>the</w:t>
      </w:r>
      <w:r>
        <w:rPr>
          <w:spacing w:val="18"/>
          <w:sz w:val="26"/>
        </w:rPr>
        <w:t> </w:t>
      </w:r>
      <w:r>
        <w:rPr>
          <w:sz w:val="26"/>
        </w:rPr>
        <w:t>said</w:t>
      </w:r>
      <w:r>
        <w:rPr>
          <w:spacing w:val="20"/>
          <w:sz w:val="26"/>
        </w:rPr>
        <w:t> </w:t>
      </w:r>
      <w:r>
        <w:rPr>
          <w:sz w:val="26"/>
        </w:rPr>
        <w:t>application,</w:t>
      </w:r>
      <w:r>
        <w:rPr>
          <w:spacing w:val="20"/>
          <w:sz w:val="26"/>
        </w:rPr>
        <w:t> </w:t>
      </w:r>
      <w:r>
        <w:rPr>
          <w:sz w:val="26"/>
        </w:rPr>
        <w:t>the</w:t>
      </w:r>
      <w:r>
        <w:rPr>
          <w:spacing w:val="19"/>
          <w:sz w:val="26"/>
        </w:rPr>
        <w:t> </w:t>
      </w:r>
      <w:r>
        <w:rPr>
          <w:sz w:val="26"/>
        </w:rPr>
        <w:t>applicant</w:t>
      </w:r>
      <w:r>
        <w:rPr>
          <w:spacing w:val="19"/>
          <w:sz w:val="26"/>
        </w:rPr>
        <w:t> </w:t>
      </w:r>
      <w:r>
        <w:rPr>
          <w:sz w:val="26"/>
        </w:rPr>
        <w:t>had</w:t>
      </w:r>
      <w:r>
        <w:rPr>
          <w:spacing w:val="21"/>
          <w:sz w:val="26"/>
        </w:rPr>
        <w:t> </w:t>
      </w:r>
      <w:r>
        <w:rPr>
          <w:sz w:val="26"/>
        </w:rPr>
        <w:t>applied</w:t>
      </w:r>
      <w:r>
        <w:rPr>
          <w:spacing w:val="19"/>
          <w:sz w:val="26"/>
        </w:rPr>
        <w:t> </w:t>
      </w:r>
      <w:r>
        <w:rPr>
          <w:sz w:val="26"/>
        </w:rPr>
        <w:t>to</w:t>
      </w:r>
      <w:r>
        <w:rPr>
          <w:spacing w:val="17"/>
          <w:sz w:val="26"/>
        </w:rPr>
        <w:t> </w:t>
      </w:r>
      <w:r>
        <w:rPr>
          <w:sz w:val="26"/>
        </w:rPr>
        <w:t>stay</w:t>
      </w:r>
      <w:r>
        <w:rPr>
          <w:spacing w:val="20"/>
          <w:sz w:val="26"/>
        </w:rPr>
        <w:t> </w:t>
      </w:r>
      <w:r>
        <w:rPr>
          <w:sz w:val="26"/>
        </w:rPr>
        <w:t>the</w:t>
      </w:r>
    </w:p>
    <w:p>
      <w:pPr>
        <w:spacing w:after="0" w:line="360" w:lineRule="auto"/>
        <w:jc w:val="both"/>
        <w:rPr>
          <w:sz w:val="26"/>
        </w:rPr>
        <w:sectPr>
          <w:pgSz w:w="11910" w:h="16840"/>
          <w:pgMar w:header="0" w:footer="977" w:top="880" w:bottom="1160" w:left="1340" w:right="1160"/>
        </w:sectPr>
      </w:pPr>
    </w:p>
    <w:p>
      <w:pPr>
        <w:pStyle w:val="BodyText"/>
        <w:spacing w:line="360" w:lineRule="auto" w:before="77"/>
        <w:ind w:left="1094" w:right="113"/>
        <w:jc w:val="both"/>
      </w:pPr>
      <w:r>
        <w:rPr/>
        <w:t>delivery of the ruling on certification pending the determination of the said</w:t>
      </w:r>
      <w:r>
        <w:rPr>
          <w:spacing w:val="-5"/>
        </w:rPr>
        <w:t> </w:t>
      </w:r>
      <w:r>
        <w:rPr/>
        <w:t>application</w:t>
      </w:r>
      <w:r>
        <w:rPr>
          <w:spacing w:val="-2"/>
        </w:rPr>
        <w:t> </w:t>
      </w:r>
      <w:r>
        <w:rPr/>
        <w:t>to</w:t>
      </w:r>
      <w:r>
        <w:rPr>
          <w:spacing w:val="-5"/>
        </w:rPr>
        <w:t> </w:t>
      </w:r>
      <w:r>
        <w:rPr/>
        <w:t>adduce</w:t>
      </w:r>
      <w:r>
        <w:rPr>
          <w:spacing w:val="-5"/>
        </w:rPr>
        <w:t> </w:t>
      </w:r>
      <w:r>
        <w:rPr/>
        <w:t>additional</w:t>
      </w:r>
      <w:r>
        <w:rPr>
          <w:spacing w:val="-5"/>
        </w:rPr>
        <w:t> </w:t>
      </w:r>
      <w:r>
        <w:rPr/>
        <w:t>evidence.</w:t>
      </w:r>
      <w:r>
        <w:rPr>
          <w:spacing w:val="-3"/>
        </w:rPr>
        <w:t> </w:t>
      </w:r>
      <w:r>
        <w:rPr/>
        <w:t>This</w:t>
      </w:r>
      <w:r>
        <w:rPr>
          <w:spacing w:val="-4"/>
        </w:rPr>
        <w:t> </w:t>
      </w:r>
      <w:r>
        <w:rPr/>
        <w:t>in</w:t>
      </w:r>
      <w:r>
        <w:rPr>
          <w:spacing w:val="-4"/>
        </w:rPr>
        <w:t> </w:t>
      </w:r>
      <w:r>
        <w:rPr/>
        <w:t>our</w:t>
      </w:r>
      <w:r>
        <w:rPr>
          <w:spacing w:val="-6"/>
        </w:rPr>
        <w:t> </w:t>
      </w:r>
      <w:r>
        <w:rPr/>
        <w:t>view</w:t>
      </w:r>
      <w:r>
        <w:rPr>
          <w:spacing w:val="-6"/>
        </w:rPr>
        <w:t> </w:t>
      </w:r>
      <w:r>
        <w:rPr/>
        <w:t>was</w:t>
      </w:r>
      <w:r>
        <w:rPr>
          <w:spacing w:val="-4"/>
        </w:rPr>
        <w:t> </w:t>
      </w:r>
      <w:r>
        <w:rPr/>
        <w:t>not the correct approach as it would have required the bench dealing with the application for certification to not only review the decision of the Court of Appeal sought to be appealed from but also consider certifying an appeal on the basis of information not contained in the judgment sought to be appealed</w:t>
      </w:r>
      <w:r>
        <w:rPr>
          <w:spacing w:val="-1"/>
        </w:rPr>
        <w:t> </w:t>
      </w:r>
      <w:r>
        <w:rPr/>
        <w:t>against.</w:t>
      </w:r>
    </w:p>
    <w:p>
      <w:pPr>
        <w:pStyle w:val="ListParagraph"/>
        <w:numPr>
          <w:ilvl w:val="1"/>
          <w:numId w:val="1"/>
        </w:numPr>
        <w:tabs>
          <w:tab w:pos="1094" w:val="left" w:leader="none"/>
        </w:tabs>
        <w:spacing w:line="360" w:lineRule="auto" w:before="0" w:after="0"/>
        <w:ind w:left="1094" w:right="111" w:hanging="711"/>
        <w:jc w:val="both"/>
        <w:rPr>
          <w:sz w:val="26"/>
        </w:rPr>
      </w:pPr>
      <w:r>
        <w:rPr/>
        <w:drawing>
          <wp:anchor distT="0" distB="0" distL="0" distR="0" allowOverlap="1" layoutInCell="1" locked="0" behindDoc="1" simplePos="0" relativeHeight="251493376">
            <wp:simplePos x="0" y="0"/>
            <wp:positionH relativeFrom="page">
              <wp:posOffset>1936278</wp:posOffset>
            </wp:positionH>
            <wp:positionV relativeFrom="paragraph">
              <wp:posOffset>347229</wp:posOffset>
            </wp:positionV>
            <wp:extent cx="4159045" cy="4436566"/>
            <wp:effectExtent l="0" t="0" r="0" b="0"/>
            <wp:wrapNone/>
            <wp:docPr id="15" name="image2.jpeg"/>
            <wp:cNvGraphicFramePr>
              <a:graphicFrameLocks noChangeAspect="1"/>
            </wp:cNvGraphicFramePr>
            <a:graphic>
              <a:graphicData uri="http://schemas.openxmlformats.org/drawingml/2006/picture">
                <pic:pic>
                  <pic:nvPicPr>
                    <pic:cNvPr id="16" name="image2.jpeg"/>
                    <pic:cNvPicPr/>
                  </pic:nvPicPr>
                  <pic:blipFill>
                    <a:blip r:embed="rId7" cstate="print"/>
                    <a:stretch>
                      <a:fillRect/>
                    </a:stretch>
                  </pic:blipFill>
                  <pic:spPr>
                    <a:xfrm>
                      <a:off x="0" y="0"/>
                      <a:ext cx="4159045" cy="4436566"/>
                    </a:xfrm>
                    <a:prstGeom prst="rect">
                      <a:avLst/>
                    </a:prstGeom>
                  </pic:spPr>
                </pic:pic>
              </a:graphicData>
            </a:graphic>
          </wp:anchor>
        </w:drawing>
      </w:r>
      <w:r>
        <w:rPr>
          <w:sz w:val="26"/>
        </w:rPr>
        <w:t>On the violation of the applicant’s rights under Articles 25(c) and 28 of the</w:t>
      </w:r>
      <w:r>
        <w:rPr>
          <w:spacing w:val="-8"/>
          <w:sz w:val="26"/>
        </w:rPr>
        <w:t> </w:t>
      </w:r>
      <w:r>
        <w:rPr>
          <w:sz w:val="26"/>
        </w:rPr>
        <w:t>Constitution,</w:t>
      </w:r>
      <w:r>
        <w:rPr>
          <w:spacing w:val="-6"/>
          <w:sz w:val="26"/>
        </w:rPr>
        <w:t> </w:t>
      </w:r>
      <w:r>
        <w:rPr>
          <w:sz w:val="26"/>
        </w:rPr>
        <w:t>the</w:t>
      </w:r>
      <w:r>
        <w:rPr>
          <w:spacing w:val="-6"/>
          <w:sz w:val="26"/>
        </w:rPr>
        <w:t> </w:t>
      </w:r>
      <w:r>
        <w:rPr>
          <w:sz w:val="26"/>
        </w:rPr>
        <w:t>extent</w:t>
      </w:r>
      <w:r>
        <w:rPr>
          <w:spacing w:val="-7"/>
          <w:sz w:val="26"/>
        </w:rPr>
        <w:t> </w:t>
      </w:r>
      <w:r>
        <w:rPr>
          <w:sz w:val="26"/>
        </w:rPr>
        <w:t>of</w:t>
      </w:r>
      <w:r>
        <w:rPr>
          <w:spacing w:val="-8"/>
          <w:sz w:val="26"/>
        </w:rPr>
        <w:t> </w:t>
      </w:r>
      <w:r>
        <w:rPr>
          <w:sz w:val="26"/>
        </w:rPr>
        <w:t>the</w:t>
      </w:r>
      <w:r>
        <w:rPr>
          <w:spacing w:val="-8"/>
          <w:sz w:val="26"/>
        </w:rPr>
        <w:t> </w:t>
      </w:r>
      <w:r>
        <w:rPr>
          <w:sz w:val="26"/>
        </w:rPr>
        <w:t>rights</w:t>
      </w:r>
      <w:r>
        <w:rPr>
          <w:spacing w:val="-8"/>
          <w:sz w:val="26"/>
        </w:rPr>
        <w:t> </w:t>
      </w:r>
      <w:r>
        <w:rPr>
          <w:sz w:val="26"/>
        </w:rPr>
        <w:t>violated</w:t>
      </w:r>
      <w:r>
        <w:rPr>
          <w:spacing w:val="-5"/>
          <w:sz w:val="26"/>
        </w:rPr>
        <w:t> </w:t>
      </w:r>
      <w:r>
        <w:rPr>
          <w:sz w:val="26"/>
        </w:rPr>
        <w:t>remains</w:t>
      </w:r>
      <w:r>
        <w:rPr>
          <w:spacing w:val="-6"/>
          <w:sz w:val="26"/>
        </w:rPr>
        <w:t> </w:t>
      </w:r>
      <w:r>
        <w:rPr>
          <w:sz w:val="26"/>
        </w:rPr>
        <w:t>a</w:t>
      </w:r>
      <w:r>
        <w:rPr>
          <w:spacing w:val="-7"/>
          <w:sz w:val="26"/>
        </w:rPr>
        <w:t> </w:t>
      </w:r>
      <w:r>
        <w:rPr>
          <w:sz w:val="26"/>
        </w:rPr>
        <w:t>factual</w:t>
      </w:r>
      <w:r>
        <w:rPr>
          <w:spacing w:val="-8"/>
          <w:sz w:val="26"/>
        </w:rPr>
        <w:t> </w:t>
      </w:r>
      <w:r>
        <w:rPr>
          <w:sz w:val="26"/>
        </w:rPr>
        <w:t>issue with circumstances specific to the parties. In any event, matters surrounding</w:t>
      </w:r>
      <w:r>
        <w:rPr>
          <w:spacing w:val="-21"/>
          <w:sz w:val="26"/>
        </w:rPr>
        <w:t> </w:t>
      </w:r>
      <w:r>
        <w:rPr>
          <w:sz w:val="26"/>
        </w:rPr>
        <w:t>the</w:t>
      </w:r>
      <w:r>
        <w:rPr>
          <w:spacing w:val="-21"/>
          <w:sz w:val="26"/>
        </w:rPr>
        <w:t> </w:t>
      </w:r>
      <w:r>
        <w:rPr>
          <w:sz w:val="26"/>
        </w:rPr>
        <w:t>interpretation</w:t>
      </w:r>
      <w:r>
        <w:rPr>
          <w:spacing w:val="-19"/>
          <w:sz w:val="26"/>
        </w:rPr>
        <w:t> </w:t>
      </w:r>
      <w:r>
        <w:rPr>
          <w:sz w:val="26"/>
        </w:rPr>
        <w:t>and</w:t>
      </w:r>
      <w:r>
        <w:rPr>
          <w:spacing w:val="-20"/>
          <w:sz w:val="26"/>
        </w:rPr>
        <w:t> </w:t>
      </w:r>
      <w:r>
        <w:rPr>
          <w:sz w:val="26"/>
        </w:rPr>
        <w:t>application</w:t>
      </w:r>
      <w:r>
        <w:rPr>
          <w:spacing w:val="-20"/>
          <w:sz w:val="26"/>
        </w:rPr>
        <w:t> </w:t>
      </w:r>
      <w:r>
        <w:rPr>
          <w:sz w:val="26"/>
        </w:rPr>
        <w:t>of</w:t>
      </w:r>
      <w:r>
        <w:rPr>
          <w:spacing w:val="-22"/>
          <w:sz w:val="26"/>
        </w:rPr>
        <w:t> </w:t>
      </w:r>
      <w:r>
        <w:rPr>
          <w:sz w:val="26"/>
        </w:rPr>
        <w:t>the</w:t>
      </w:r>
      <w:r>
        <w:rPr>
          <w:spacing w:val="-21"/>
          <w:sz w:val="26"/>
        </w:rPr>
        <w:t> </w:t>
      </w:r>
      <w:r>
        <w:rPr>
          <w:sz w:val="26"/>
        </w:rPr>
        <w:t>constitution</w:t>
      </w:r>
      <w:r>
        <w:rPr>
          <w:spacing w:val="-20"/>
          <w:sz w:val="26"/>
        </w:rPr>
        <w:t> </w:t>
      </w:r>
      <w:r>
        <w:rPr>
          <w:sz w:val="26"/>
        </w:rPr>
        <w:t>follow a definite appellate path so as to invoke our jurisdiction under Article 163(4)(a) of the</w:t>
      </w:r>
      <w:r>
        <w:rPr>
          <w:spacing w:val="-4"/>
          <w:sz w:val="26"/>
        </w:rPr>
        <w:t> </w:t>
      </w:r>
      <w:r>
        <w:rPr>
          <w:sz w:val="26"/>
        </w:rPr>
        <w:t>Constitution.</w:t>
      </w:r>
    </w:p>
    <w:p>
      <w:pPr>
        <w:pStyle w:val="ListParagraph"/>
        <w:numPr>
          <w:ilvl w:val="1"/>
          <w:numId w:val="1"/>
        </w:numPr>
        <w:tabs>
          <w:tab w:pos="1094" w:val="left" w:leader="none"/>
        </w:tabs>
        <w:spacing w:line="360" w:lineRule="auto" w:before="1" w:after="0"/>
        <w:ind w:left="1094" w:right="111" w:hanging="711"/>
        <w:jc w:val="both"/>
        <w:rPr>
          <w:sz w:val="26"/>
        </w:rPr>
      </w:pPr>
      <w:r>
        <w:rPr>
          <w:sz w:val="26"/>
        </w:rPr>
        <w:t>We</w:t>
      </w:r>
      <w:r>
        <w:rPr>
          <w:spacing w:val="-6"/>
          <w:sz w:val="26"/>
        </w:rPr>
        <w:t> </w:t>
      </w:r>
      <w:r>
        <w:rPr>
          <w:sz w:val="26"/>
        </w:rPr>
        <w:t>reiterate,</w:t>
      </w:r>
      <w:r>
        <w:rPr>
          <w:spacing w:val="-4"/>
          <w:sz w:val="26"/>
        </w:rPr>
        <w:t> </w:t>
      </w:r>
      <w:r>
        <w:rPr>
          <w:sz w:val="26"/>
        </w:rPr>
        <w:t>as</w:t>
      </w:r>
      <w:r>
        <w:rPr>
          <w:spacing w:val="-6"/>
          <w:sz w:val="26"/>
        </w:rPr>
        <w:t> </w:t>
      </w:r>
      <w:r>
        <w:rPr>
          <w:sz w:val="26"/>
        </w:rPr>
        <w:t>we</w:t>
      </w:r>
      <w:r>
        <w:rPr>
          <w:spacing w:val="-7"/>
          <w:sz w:val="26"/>
        </w:rPr>
        <w:t> </w:t>
      </w:r>
      <w:r>
        <w:rPr>
          <w:sz w:val="26"/>
        </w:rPr>
        <w:t>have</w:t>
      </w:r>
      <w:r>
        <w:rPr>
          <w:spacing w:val="-3"/>
          <w:sz w:val="26"/>
        </w:rPr>
        <w:t> </w:t>
      </w:r>
      <w:r>
        <w:rPr>
          <w:sz w:val="26"/>
        </w:rPr>
        <w:t>done</w:t>
      </w:r>
      <w:r>
        <w:rPr>
          <w:spacing w:val="-5"/>
          <w:sz w:val="26"/>
        </w:rPr>
        <w:t> </w:t>
      </w:r>
      <w:r>
        <w:rPr>
          <w:sz w:val="26"/>
        </w:rPr>
        <w:t>previously,</w:t>
      </w:r>
      <w:r>
        <w:rPr>
          <w:spacing w:val="-2"/>
          <w:sz w:val="26"/>
        </w:rPr>
        <w:t> </w:t>
      </w:r>
      <w:r>
        <w:rPr>
          <w:sz w:val="26"/>
        </w:rPr>
        <w:t>that</w:t>
      </w:r>
      <w:r>
        <w:rPr>
          <w:spacing w:val="-3"/>
          <w:sz w:val="26"/>
        </w:rPr>
        <w:t> </w:t>
      </w:r>
      <w:r>
        <w:rPr>
          <w:sz w:val="26"/>
        </w:rPr>
        <w:t>a</w:t>
      </w:r>
      <w:r>
        <w:rPr>
          <w:spacing w:val="-5"/>
          <w:sz w:val="26"/>
        </w:rPr>
        <w:t> </w:t>
      </w:r>
      <w:r>
        <w:rPr>
          <w:sz w:val="26"/>
        </w:rPr>
        <w:t>mere</w:t>
      </w:r>
      <w:r>
        <w:rPr>
          <w:spacing w:val="-4"/>
          <w:sz w:val="26"/>
        </w:rPr>
        <w:t> </w:t>
      </w:r>
      <w:r>
        <w:rPr>
          <w:sz w:val="26"/>
        </w:rPr>
        <w:t>apprehension</w:t>
      </w:r>
      <w:r>
        <w:rPr>
          <w:spacing w:val="-6"/>
          <w:sz w:val="26"/>
        </w:rPr>
        <w:t> </w:t>
      </w:r>
      <w:r>
        <w:rPr>
          <w:sz w:val="26"/>
        </w:rPr>
        <w:t>of</w:t>
      </w:r>
      <w:r>
        <w:rPr>
          <w:spacing w:val="-2"/>
          <w:sz w:val="26"/>
        </w:rPr>
        <w:t> </w:t>
      </w:r>
      <w:r>
        <w:rPr>
          <w:sz w:val="26"/>
        </w:rPr>
        <w:t>a miscarriage</w:t>
      </w:r>
      <w:r>
        <w:rPr>
          <w:spacing w:val="-7"/>
          <w:sz w:val="26"/>
        </w:rPr>
        <w:t> </w:t>
      </w:r>
      <w:r>
        <w:rPr>
          <w:sz w:val="26"/>
        </w:rPr>
        <w:t>of</w:t>
      </w:r>
      <w:r>
        <w:rPr>
          <w:spacing w:val="-7"/>
          <w:sz w:val="26"/>
        </w:rPr>
        <w:t> </w:t>
      </w:r>
      <w:r>
        <w:rPr>
          <w:sz w:val="26"/>
        </w:rPr>
        <w:t>justice,</w:t>
      </w:r>
      <w:r>
        <w:rPr>
          <w:spacing w:val="-5"/>
          <w:sz w:val="26"/>
        </w:rPr>
        <w:t> </w:t>
      </w:r>
      <w:r>
        <w:rPr>
          <w:sz w:val="26"/>
        </w:rPr>
        <w:t>as</w:t>
      </w:r>
      <w:r>
        <w:rPr>
          <w:spacing w:val="-8"/>
          <w:sz w:val="26"/>
        </w:rPr>
        <w:t> </w:t>
      </w:r>
      <w:r>
        <w:rPr>
          <w:sz w:val="26"/>
        </w:rPr>
        <w:t>is</w:t>
      </w:r>
      <w:r>
        <w:rPr>
          <w:spacing w:val="-7"/>
          <w:sz w:val="26"/>
        </w:rPr>
        <w:t> </w:t>
      </w:r>
      <w:r>
        <w:rPr>
          <w:sz w:val="26"/>
        </w:rPr>
        <w:t>echoed</w:t>
      </w:r>
      <w:r>
        <w:rPr>
          <w:spacing w:val="-9"/>
          <w:sz w:val="26"/>
        </w:rPr>
        <w:t> </w:t>
      </w:r>
      <w:r>
        <w:rPr>
          <w:sz w:val="26"/>
        </w:rPr>
        <w:t>by</w:t>
      </w:r>
      <w:r>
        <w:rPr>
          <w:spacing w:val="-8"/>
          <w:sz w:val="26"/>
        </w:rPr>
        <w:t> </w:t>
      </w:r>
      <w:r>
        <w:rPr>
          <w:sz w:val="26"/>
        </w:rPr>
        <w:t>the</w:t>
      </w:r>
      <w:r>
        <w:rPr>
          <w:spacing w:val="-7"/>
          <w:sz w:val="26"/>
        </w:rPr>
        <w:t> </w:t>
      </w:r>
      <w:r>
        <w:rPr>
          <w:sz w:val="26"/>
        </w:rPr>
        <w:t>applicant,</w:t>
      </w:r>
      <w:r>
        <w:rPr>
          <w:spacing w:val="-8"/>
          <w:sz w:val="26"/>
        </w:rPr>
        <w:t> </w:t>
      </w:r>
      <w:r>
        <w:rPr>
          <w:sz w:val="26"/>
        </w:rPr>
        <w:t>is</w:t>
      </w:r>
      <w:r>
        <w:rPr>
          <w:spacing w:val="-5"/>
          <w:sz w:val="26"/>
        </w:rPr>
        <w:t> </w:t>
      </w:r>
      <w:r>
        <w:rPr>
          <w:sz w:val="26"/>
        </w:rPr>
        <w:t>a</w:t>
      </w:r>
      <w:r>
        <w:rPr>
          <w:spacing w:val="-9"/>
          <w:sz w:val="26"/>
        </w:rPr>
        <w:t> </w:t>
      </w:r>
      <w:r>
        <w:rPr>
          <w:sz w:val="26"/>
        </w:rPr>
        <w:t>matter</w:t>
      </w:r>
      <w:r>
        <w:rPr>
          <w:spacing w:val="-5"/>
          <w:sz w:val="26"/>
        </w:rPr>
        <w:t> </w:t>
      </w:r>
      <w:r>
        <w:rPr>
          <w:sz w:val="26"/>
        </w:rPr>
        <w:t>most</w:t>
      </w:r>
      <w:r>
        <w:rPr>
          <w:spacing w:val="-7"/>
          <w:sz w:val="26"/>
        </w:rPr>
        <w:t> </w:t>
      </w:r>
      <w:r>
        <w:rPr>
          <w:sz w:val="26"/>
        </w:rPr>
        <w:t>apt for resolution in the superior courts below. It is not a proper basis for granting certification for an appeal to the Supreme Court as elucidated in the </w:t>
      </w:r>
      <w:r>
        <w:rPr>
          <w:b/>
          <w:i/>
          <w:sz w:val="26"/>
        </w:rPr>
        <w:t>Hermanus Phillipus Steyn case</w:t>
      </w:r>
      <w:r>
        <w:rPr>
          <w:sz w:val="26"/>
        </w:rPr>
        <w:t>. The intended appeal must squarely fall within Article 163 (4)(b) of the Constitution for it to attract our</w:t>
      </w:r>
      <w:r>
        <w:rPr>
          <w:spacing w:val="-1"/>
          <w:sz w:val="26"/>
        </w:rPr>
        <w:t> </w:t>
      </w:r>
      <w:r>
        <w:rPr>
          <w:sz w:val="26"/>
        </w:rPr>
        <w:t>attention;</w:t>
      </w:r>
    </w:p>
    <w:p>
      <w:pPr>
        <w:pStyle w:val="ListParagraph"/>
        <w:numPr>
          <w:ilvl w:val="1"/>
          <w:numId w:val="1"/>
        </w:numPr>
        <w:tabs>
          <w:tab w:pos="1094" w:val="left" w:leader="none"/>
        </w:tabs>
        <w:spacing w:line="360" w:lineRule="auto" w:before="1" w:after="0"/>
        <w:ind w:left="1094" w:right="113" w:hanging="711"/>
        <w:jc w:val="both"/>
        <w:rPr>
          <w:sz w:val="26"/>
        </w:rPr>
      </w:pPr>
      <w:r>
        <w:rPr>
          <w:sz w:val="26"/>
        </w:rPr>
        <w:t>The upshot of our finding is that </w:t>
      </w:r>
      <w:r>
        <w:rPr>
          <w:spacing w:val="2"/>
          <w:sz w:val="26"/>
        </w:rPr>
        <w:t>we </w:t>
      </w:r>
      <w:r>
        <w:rPr>
          <w:sz w:val="26"/>
        </w:rPr>
        <w:t>affirm that the Court of Appeal was correct in its decision declining to certify the questions raised by the applicant as substantial questions of law of general public importance that would necessitate the exercise of this Court’s jurisdiction under Article 163(4)(b) of the Constitution. As for costs, we see no reason to burden any party with costs and each party should bear its own</w:t>
      </w:r>
      <w:r>
        <w:rPr>
          <w:spacing w:val="-31"/>
          <w:sz w:val="26"/>
        </w:rPr>
        <w:t> </w:t>
      </w:r>
      <w:r>
        <w:rPr>
          <w:sz w:val="26"/>
        </w:rPr>
        <w:t>costs.</w:t>
      </w:r>
    </w:p>
    <w:p>
      <w:pPr>
        <w:pStyle w:val="ListParagraph"/>
        <w:numPr>
          <w:ilvl w:val="0"/>
          <w:numId w:val="1"/>
        </w:numPr>
        <w:tabs>
          <w:tab w:pos="821" w:val="left" w:leader="none"/>
        </w:tabs>
        <w:spacing w:line="240" w:lineRule="auto" w:before="239" w:after="0"/>
        <w:ind w:left="820" w:right="0" w:hanging="656"/>
        <w:jc w:val="left"/>
        <w:rPr>
          <w:sz w:val="26"/>
        </w:rPr>
      </w:pPr>
      <w:r>
        <w:rPr>
          <w:b/>
          <w:sz w:val="26"/>
        </w:rPr>
        <w:t>CONSEQUENTLY, </w:t>
      </w:r>
      <w:r>
        <w:rPr>
          <w:sz w:val="26"/>
        </w:rPr>
        <w:t>for reasons aforesaid, we make the following</w:t>
      </w:r>
      <w:r>
        <w:rPr>
          <w:spacing w:val="-42"/>
          <w:sz w:val="26"/>
        </w:rPr>
        <w:t> </w:t>
      </w:r>
      <w:r>
        <w:rPr>
          <w:sz w:val="26"/>
        </w:rPr>
        <w:t>orders:</w:t>
      </w:r>
    </w:p>
    <w:p>
      <w:pPr>
        <w:pStyle w:val="Heading2"/>
        <w:numPr>
          <w:ilvl w:val="1"/>
          <w:numId w:val="1"/>
        </w:numPr>
        <w:tabs>
          <w:tab w:pos="1540" w:val="left" w:leader="none"/>
          <w:tab w:pos="1541" w:val="left" w:leader="none"/>
        </w:tabs>
        <w:spacing w:line="360" w:lineRule="auto" w:before="148" w:after="0"/>
        <w:ind w:left="1540" w:right="114" w:hanging="588"/>
        <w:jc w:val="left"/>
      </w:pPr>
      <w:r>
        <w:rPr>
          <w:i/>
        </w:rPr>
        <w:t>The Originating Motion dated 4</w:t>
      </w:r>
      <w:r>
        <w:rPr>
          <w:i/>
          <w:position w:val="7"/>
          <w:sz w:val="17"/>
        </w:rPr>
        <w:t>th </w:t>
      </w:r>
      <w:r>
        <w:rPr>
          <w:i/>
        </w:rPr>
        <w:t>October, 2024 and filed </w:t>
      </w:r>
      <w:r>
        <w:rPr/>
        <w:t>on 9</w:t>
      </w:r>
      <w:r>
        <w:rPr>
          <w:position w:val="7"/>
          <w:sz w:val="17"/>
        </w:rPr>
        <w:t>th </w:t>
      </w:r>
      <w:r>
        <w:rPr/>
        <w:t>October, 2024 be and is hereby dismissed;</w:t>
      </w:r>
      <w:r>
        <w:rPr>
          <w:spacing w:val="-35"/>
        </w:rPr>
        <w:t> </w:t>
      </w:r>
      <w:r>
        <w:rPr/>
        <w:t>and</w:t>
      </w:r>
    </w:p>
    <w:p>
      <w:pPr>
        <w:pStyle w:val="ListParagraph"/>
        <w:numPr>
          <w:ilvl w:val="1"/>
          <w:numId w:val="1"/>
        </w:numPr>
        <w:tabs>
          <w:tab w:pos="1540" w:val="left" w:leader="none"/>
          <w:tab w:pos="1541" w:val="left" w:leader="none"/>
        </w:tabs>
        <w:spacing w:line="295" w:lineRule="exact" w:before="0" w:after="0"/>
        <w:ind w:left="1540" w:right="0" w:hanging="589"/>
        <w:jc w:val="left"/>
        <w:rPr>
          <w:b/>
          <w:i/>
          <w:sz w:val="26"/>
        </w:rPr>
      </w:pPr>
      <w:r>
        <w:rPr>
          <w:b/>
          <w:i/>
          <w:sz w:val="26"/>
        </w:rPr>
        <w:t>Each party to bear its own</w:t>
      </w:r>
      <w:r>
        <w:rPr>
          <w:b/>
          <w:i/>
          <w:spacing w:val="-2"/>
          <w:sz w:val="26"/>
        </w:rPr>
        <w:t> </w:t>
      </w:r>
      <w:r>
        <w:rPr>
          <w:b/>
          <w:i/>
          <w:sz w:val="26"/>
        </w:rPr>
        <w:t>costs.</w:t>
      </w:r>
    </w:p>
    <w:p>
      <w:pPr>
        <w:pStyle w:val="BodyText"/>
        <w:spacing w:before="2"/>
        <w:rPr>
          <w:b/>
          <w:i/>
          <w:sz w:val="34"/>
        </w:rPr>
      </w:pPr>
    </w:p>
    <w:p>
      <w:pPr>
        <w:pStyle w:val="BodyText"/>
        <w:spacing w:before="1"/>
        <w:ind w:left="100"/>
      </w:pPr>
      <w:r>
        <w:rPr/>
        <w:t>Orders accordingly.</w:t>
      </w:r>
    </w:p>
    <w:p>
      <w:pPr>
        <w:spacing w:after="0"/>
        <w:sectPr>
          <w:pgSz w:w="11910" w:h="16840"/>
          <w:pgMar w:header="0" w:footer="977" w:top="880" w:bottom="1160" w:left="1340" w:right="1160"/>
        </w:sectPr>
      </w:pPr>
    </w:p>
    <w:p>
      <w:pPr>
        <w:spacing w:before="77"/>
        <w:ind w:left="100" w:right="0" w:firstLine="0"/>
        <w:jc w:val="left"/>
        <w:rPr>
          <w:b/>
          <w:sz w:val="26"/>
        </w:rPr>
      </w:pPr>
      <w:r>
        <w:rPr>
          <w:b/>
          <w:sz w:val="26"/>
        </w:rPr>
        <w:t>DATED </w:t>
      </w:r>
      <w:r>
        <w:rPr>
          <w:sz w:val="26"/>
        </w:rPr>
        <w:t>and </w:t>
      </w:r>
      <w:r>
        <w:rPr>
          <w:b/>
          <w:sz w:val="26"/>
        </w:rPr>
        <w:t>DELIVERED </w:t>
      </w:r>
      <w:r>
        <w:rPr>
          <w:sz w:val="26"/>
        </w:rPr>
        <w:t>at </w:t>
      </w:r>
      <w:r>
        <w:rPr>
          <w:b/>
          <w:sz w:val="26"/>
        </w:rPr>
        <w:t>NAIROBI </w:t>
      </w:r>
      <w:r>
        <w:rPr>
          <w:sz w:val="26"/>
        </w:rPr>
        <w:t>this </w:t>
      </w:r>
      <w:r>
        <w:rPr>
          <w:b/>
          <w:sz w:val="26"/>
        </w:rPr>
        <w:t>14</w:t>
      </w:r>
      <w:r>
        <w:rPr>
          <w:b/>
          <w:position w:val="7"/>
          <w:sz w:val="17"/>
        </w:rPr>
        <w:t>th </w:t>
      </w:r>
      <w:r>
        <w:rPr>
          <w:sz w:val="26"/>
        </w:rPr>
        <w:t>day of </w:t>
      </w:r>
      <w:r>
        <w:rPr>
          <w:b/>
          <w:sz w:val="26"/>
        </w:rPr>
        <w:t>March</w:t>
      </w:r>
      <w:r>
        <w:rPr>
          <w:sz w:val="26"/>
        </w:rPr>
        <w:t>, </w:t>
      </w:r>
      <w:r>
        <w:rPr>
          <w:b/>
          <w:sz w:val="26"/>
        </w:rPr>
        <w:t>2025.</w:t>
      </w:r>
    </w:p>
    <w:p>
      <w:pPr>
        <w:pStyle w:val="BodyText"/>
        <w:rPr>
          <w:b/>
          <w:sz w:val="28"/>
        </w:rPr>
      </w:pPr>
    </w:p>
    <w:p>
      <w:pPr>
        <w:pStyle w:val="BodyText"/>
        <w:rPr>
          <w:b/>
          <w:sz w:val="28"/>
        </w:rPr>
      </w:pPr>
    </w:p>
    <w:p>
      <w:pPr>
        <w:spacing w:before="248"/>
        <w:ind w:left="70" w:right="83" w:firstLine="0"/>
        <w:jc w:val="center"/>
        <w:rPr>
          <w:b/>
          <w:sz w:val="22"/>
        </w:rPr>
      </w:pPr>
      <w:r>
        <w:rPr>
          <w:b/>
          <w:sz w:val="22"/>
        </w:rPr>
        <w:t>…...………………………………………………………………</w:t>
      </w:r>
    </w:p>
    <w:p>
      <w:pPr>
        <w:spacing w:line="273" w:lineRule="auto" w:before="38"/>
        <w:ind w:left="2837" w:right="2807" w:firstLine="1224"/>
        <w:jc w:val="left"/>
        <w:rPr>
          <w:b/>
          <w:sz w:val="22"/>
        </w:rPr>
      </w:pPr>
      <w:r>
        <w:rPr>
          <w:b/>
          <w:sz w:val="22"/>
        </w:rPr>
        <w:t>P. M. MWILU DEPUTY CHIEF JUSTICE &amp;</w:t>
      </w:r>
      <w:r>
        <w:rPr>
          <w:b/>
          <w:spacing w:val="-9"/>
          <w:sz w:val="22"/>
        </w:rPr>
        <w:t> </w:t>
      </w:r>
      <w:r>
        <w:rPr>
          <w:b/>
          <w:sz w:val="22"/>
        </w:rPr>
        <w:t>VICE</w:t>
      </w:r>
    </w:p>
    <w:p>
      <w:pPr>
        <w:spacing w:before="4"/>
        <w:ind w:left="2332" w:right="0" w:firstLine="0"/>
        <w:jc w:val="left"/>
        <w:rPr>
          <w:b/>
          <w:sz w:val="22"/>
        </w:rPr>
      </w:pPr>
      <w:r>
        <w:rPr>
          <w:b/>
          <w:sz w:val="22"/>
        </w:rPr>
        <w:t>PRESIDENT OF THE SUPREME COURT</w:t>
      </w:r>
    </w:p>
    <w:p>
      <w:pPr>
        <w:pStyle w:val="BodyText"/>
        <w:rPr>
          <w:b/>
          <w:sz w:val="24"/>
        </w:rPr>
      </w:pPr>
    </w:p>
    <w:p>
      <w:pPr>
        <w:pStyle w:val="BodyText"/>
        <w:rPr>
          <w:b/>
          <w:sz w:val="24"/>
        </w:rPr>
      </w:pPr>
    </w:p>
    <w:p>
      <w:pPr>
        <w:pStyle w:val="BodyText"/>
        <w:rPr>
          <w:b/>
          <w:sz w:val="24"/>
        </w:rPr>
      </w:pPr>
    </w:p>
    <w:p>
      <w:pPr>
        <w:pStyle w:val="BodyText"/>
        <w:rPr>
          <w:b/>
          <w:sz w:val="24"/>
        </w:rPr>
      </w:pPr>
    </w:p>
    <w:p>
      <w:pPr>
        <w:tabs>
          <w:tab w:pos="5251" w:val="left" w:leader="none"/>
        </w:tabs>
        <w:spacing w:before="202"/>
        <w:ind w:left="100" w:right="0" w:firstLine="0"/>
        <w:jc w:val="left"/>
        <w:rPr>
          <w:b/>
          <w:sz w:val="22"/>
        </w:rPr>
      </w:pPr>
      <w:r>
        <w:rPr/>
        <w:drawing>
          <wp:anchor distT="0" distB="0" distL="0" distR="0" allowOverlap="1" layoutInCell="1" locked="0" behindDoc="1" simplePos="0" relativeHeight="251494400">
            <wp:simplePos x="0" y="0"/>
            <wp:positionH relativeFrom="page">
              <wp:posOffset>1936278</wp:posOffset>
            </wp:positionH>
            <wp:positionV relativeFrom="paragraph">
              <wp:posOffset>168743</wp:posOffset>
            </wp:positionV>
            <wp:extent cx="4159045" cy="4436566"/>
            <wp:effectExtent l="0" t="0" r="0" b="0"/>
            <wp:wrapNone/>
            <wp:docPr id="17" name="image2.jpeg"/>
            <wp:cNvGraphicFramePr>
              <a:graphicFrameLocks noChangeAspect="1"/>
            </wp:cNvGraphicFramePr>
            <a:graphic>
              <a:graphicData uri="http://schemas.openxmlformats.org/drawingml/2006/picture">
                <pic:pic>
                  <pic:nvPicPr>
                    <pic:cNvPr id="18" name="image2.jpeg"/>
                    <pic:cNvPicPr/>
                  </pic:nvPicPr>
                  <pic:blipFill>
                    <a:blip r:embed="rId7" cstate="print"/>
                    <a:stretch>
                      <a:fillRect/>
                    </a:stretch>
                  </pic:blipFill>
                  <pic:spPr>
                    <a:xfrm>
                      <a:off x="0" y="0"/>
                      <a:ext cx="4159045" cy="4436566"/>
                    </a:xfrm>
                    <a:prstGeom prst="rect">
                      <a:avLst/>
                    </a:prstGeom>
                  </pic:spPr>
                </pic:pic>
              </a:graphicData>
            </a:graphic>
          </wp:anchor>
        </w:drawing>
      </w:r>
      <w:r>
        <w:rPr>
          <w:b/>
          <w:sz w:val="22"/>
        </w:rPr>
        <w:t>……………………..…………........................</w:t>
        <w:tab/>
        <w:t>………………………………………………</w:t>
      </w:r>
    </w:p>
    <w:p>
      <w:pPr>
        <w:tabs>
          <w:tab w:pos="6581" w:val="left" w:leader="none"/>
        </w:tabs>
        <w:spacing w:before="36"/>
        <w:ind w:left="1326" w:right="0" w:firstLine="0"/>
        <w:jc w:val="left"/>
        <w:rPr>
          <w:b/>
          <w:sz w:val="22"/>
        </w:rPr>
      </w:pPr>
      <w:r>
        <w:rPr>
          <w:b/>
          <w:sz w:val="22"/>
        </w:rPr>
        <w:t>M.K.</w:t>
      </w:r>
      <w:r>
        <w:rPr>
          <w:b/>
          <w:spacing w:val="-2"/>
          <w:sz w:val="22"/>
        </w:rPr>
        <w:t> </w:t>
      </w:r>
      <w:r>
        <w:rPr>
          <w:b/>
          <w:sz w:val="22"/>
        </w:rPr>
        <w:t>IBRAHIM</w:t>
        <w:tab/>
        <w:t>S.C.</w:t>
      </w:r>
      <w:r>
        <w:rPr>
          <w:b/>
          <w:spacing w:val="-3"/>
          <w:sz w:val="22"/>
        </w:rPr>
        <w:t> </w:t>
      </w:r>
      <w:r>
        <w:rPr>
          <w:b/>
          <w:sz w:val="22"/>
        </w:rPr>
        <w:t>WANJALA</w:t>
      </w:r>
    </w:p>
    <w:p>
      <w:pPr>
        <w:tabs>
          <w:tab w:pos="5141" w:val="left" w:leader="none"/>
        </w:tabs>
        <w:spacing w:before="38"/>
        <w:ind w:left="434" w:right="0" w:firstLine="0"/>
        <w:jc w:val="left"/>
        <w:rPr>
          <w:b/>
          <w:sz w:val="22"/>
        </w:rPr>
      </w:pPr>
      <w:r>
        <w:rPr>
          <w:b/>
          <w:sz w:val="22"/>
        </w:rPr>
        <w:t>JUSTICE  OF THE</w:t>
      </w:r>
      <w:r>
        <w:rPr>
          <w:b/>
          <w:spacing w:val="-35"/>
          <w:sz w:val="22"/>
        </w:rPr>
        <w:t> </w:t>
      </w:r>
      <w:r>
        <w:rPr>
          <w:b/>
          <w:sz w:val="22"/>
        </w:rPr>
        <w:t>SUPREME</w:t>
      </w:r>
      <w:r>
        <w:rPr>
          <w:b/>
          <w:spacing w:val="-3"/>
          <w:sz w:val="22"/>
        </w:rPr>
        <w:t> </w:t>
      </w:r>
      <w:r>
        <w:rPr>
          <w:b/>
          <w:sz w:val="22"/>
        </w:rPr>
        <w:t>COURT</w:t>
        <w:tab/>
        <w:t>JUSTICE OF THE SUPREME</w:t>
      </w:r>
      <w:r>
        <w:rPr>
          <w:b/>
          <w:spacing w:val="-8"/>
          <w:sz w:val="22"/>
        </w:rPr>
        <w:t> </w:t>
      </w:r>
      <w:r>
        <w:rPr>
          <w:b/>
          <w:sz w:val="22"/>
        </w:rPr>
        <w:t>COURT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tabs>
          <w:tab w:pos="5251" w:val="left" w:leader="none"/>
        </w:tabs>
        <w:spacing w:before="197"/>
        <w:ind w:left="100" w:right="0" w:firstLine="0"/>
        <w:jc w:val="left"/>
        <w:rPr>
          <w:b/>
          <w:sz w:val="20"/>
        </w:rPr>
      </w:pPr>
      <w:r>
        <w:rPr>
          <w:b/>
          <w:sz w:val="22"/>
        </w:rPr>
        <w:t>………………………………………………………</w:t>
        <w:tab/>
      </w:r>
      <w:r>
        <w:rPr>
          <w:b/>
          <w:sz w:val="20"/>
        </w:rPr>
        <w:t>…………………………………………………….</w:t>
      </w:r>
    </w:p>
    <w:p>
      <w:pPr>
        <w:tabs>
          <w:tab w:pos="5208" w:val="left" w:leader="none"/>
        </w:tabs>
        <w:spacing w:before="38"/>
        <w:ind w:left="0" w:right="54" w:firstLine="0"/>
        <w:jc w:val="center"/>
        <w:rPr>
          <w:b/>
          <w:sz w:val="22"/>
        </w:rPr>
      </w:pPr>
      <w:r>
        <w:rPr>
          <w:b/>
          <w:sz w:val="22"/>
        </w:rPr>
        <w:t>NJOKI</w:t>
      </w:r>
      <w:r>
        <w:rPr>
          <w:b/>
          <w:spacing w:val="-3"/>
          <w:sz w:val="22"/>
        </w:rPr>
        <w:t> </w:t>
      </w:r>
      <w:r>
        <w:rPr>
          <w:b/>
          <w:sz w:val="22"/>
        </w:rPr>
        <w:t>NDUNGU</w:t>
        <w:tab/>
        <w:t>I.</w:t>
      </w:r>
      <w:r>
        <w:rPr>
          <w:b/>
          <w:spacing w:val="-2"/>
          <w:sz w:val="22"/>
        </w:rPr>
        <w:t> </w:t>
      </w:r>
      <w:r>
        <w:rPr>
          <w:b/>
          <w:sz w:val="22"/>
        </w:rPr>
        <w:t>LENAOLA</w:t>
      </w:r>
    </w:p>
    <w:p>
      <w:pPr>
        <w:tabs>
          <w:tab w:pos="5078" w:val="left" w:leader="none"/>
        </w:tabs>
        <w:spacing w:before="38"/>
        <w:ind w:left="0" w:right="10" w:firstLine="0"/>
        <w:jc w:val="center"/>
        <w:rPr>
          <w:b/>
          <w:sz w:val="22"/>
        </w:rPr>
      </w:pPr>
      <w:r>
        <w:rPr>
          <w:b/>
          <w:sz w:val="22"/>
        </w:rPr>
        <w:t>JUSTICE OF THE</w:t>
      </w:r>
      <w:r>
        <w:rPr>
          <w:b/>
          <w:spacing w:val="-23"/>
          <w:sz w:val="22"/>
        </w:rPr>
        <w:t> </w:t>
      </w:r>
      <w:r>
        <w:rPr>
          <w:b/>
          <w:sz w:val="22"/>
        </w:rPr>
        <w:t>SUPREME</w:t>
      </w:r>
      <w:r>
        <w:rPr>
          <w:b/>
          <w:spacing w:val="-7"/>
          <w:sz w:val="22"/>
        </w:rPr>
        <w:t> </w:t>
      </w:r>
      <w:r>
        <w:rPr>
          <w:b/>
          <w:sz w:val="22"/>
        </w:rPr>
        <w:t>COURT</w:t>
        <w:tab/>
        <w:t>JUSTICE OF THE SUPREME</w:t>
      </w:r>
      <w:r>
        <w:rPr>
          <w:b/>
          <w:spacing w:val="-29"/>
          <w:sz w:val="22"/>
        </w:rPr>
        <w:t> </w:t>
      </w:r>
      <w:r>
        <w:rPr>
          <w:b/>
          <w:sz w:val="22"/>
        </w:rPr>
        <w:t>COURT</w:t>
      </w:r>
    </w:p>
    <w:p>
      <w:pPr>
        <w:pStyle w:val="BodyText"/>
        <w:rPr>
          <w:b/>
          <w:sz w:val="24"/>
        </w:rPr>
      </w:pPr>
    </w:p>
    <w:p>
      <w:pPr>
        <w:pStyle w:val="BodyText"/>
        <w:rPr>
          <w:b/>
          <w:sz w:val="24"/>
        </w:rPr>
      </w:pPr>
    </w:p>
    <w:p>
      <w:pPr>
        <w:pStyle w:val="BodyText"/>
        <w:rPr>
          <w:b/>
          <w:sz w:val="24"/>
        </w:rPr>
      </w:pPr>
    </w:p>
    <w:p>
      <w:pPr>
        <w:pStyle w:val="BodyText"/>
        <w:spacing w:before="10"/>
        <w:rPr>
          <w:b/>
          <w:sz w:val="24"/>
        </w:rPr>
      </w:pPr>
    </w:p>
    <w:p>
      <w:pPr>
        <w:pStyle w:val="Heading1"/>
        <w:ind w:left="100"/>
        <w:jc w:val="left"/>
      </w:pPr>
      <w:r>
        <w:rPr/>
        <w:t>I certify that this is a true copy of the original</w:t>
      </w:r>
    </w:p>
    <w:p>
      <w:pPr>
        <w:pStyle w:val="BodyText"/>
        <w:rPr>
          <w:b/>
          <w:sz w:val="28"/>
        </w:rPr>
      </w:pPr>
    </w:p>
    <w:p>
      <w:pPr>
        <w:pStyle w:val="BodyText"/>
        <w:rPr>
          <w:b/>
          <w:sz w:val="28"/>
        </w:rPr>
      </w:pPr>
    </w:p>
    <w:p>
      <w:pPr>
        <w:pStyle w:val="BodyText"/>
        <w:rPr>
          <w:b/>
          <w:sz w:val="28"/>
        </w:rPr>
      </w:pPr>
    </w:p>
    <w:p>
      <w:pPr>
        <w:spacing w:before="250"/>
        <w:ind w:left="100" w:right="0" w:firstLine="0"/>
        <w:jc w:val="left"/>
        <w:rPr>
          <w:b/>
          <w:sz w:val="26"/>
        </w:rPr>
      </w:pPr>
      <w:r>
        <w:rPr>
          <w:b/>
          <w:sz w:val="26"/>
        </w:rPr>
        <w:t>REGISTRAR,</w:t>
      </w:r>
    </w:p>
    <w:p>
      <w:pPr>
        <w:spacing w:before="146"/>
        <w:ind w:left="100" w:right="0" w:firstLine="0"/>
        <w:jc w:val="left"/>
        <w:rPr>
          <w:b/>
          <w:sz w:val="26"/>
        </w:rPr>
      </w:pPr>
      <w:r>
        <w:rPr>
          <w:b/>
          <w:sz w:val="26"/>
          <w:u w:val="thick"/>
        </w:rPr>
        <w:t>SUPREME COURT OF KENYA</w:t>
      </w:r>
    </w:p>
    <w:sectPr>
      <w:pgSz w:w="11910" w:h="16840"/>
      <w:pgMar w:header="0" w:footer="977" w:top="880" w:bottom="1160" w:left="1340" w:right="1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024002pt;margin-top:782.082764pt;width:133.550pt;height:13.35pt;mso-position-horizontal-relative:page;mso-position-vertical-relative:page;z-index:-251831296" type="#_x0000_t202" filled="false" stroked="false">
          <v:textbox inset="0,0,0,0">
            <w:txbxContent>
              <w:p>
                <w:pPr>
                  <w:spacing w:before="19"/>
                  <w:ind w:left="20" w:right="0" w:firstLine="0"/>
                  <w:jc w:val="left"/>
                  <w:rPr>
                    <w:i/>
                    <w:sz w:val="20"/>
                  </w:rPr>
                </w:pPr>
                <w:r>
                  <w:rPr>
                    <w:i/>
                    <w:sz w:val="20"/>
                  </w:rPr>
                  <w:t>Application No. E016 of 2023</w:t>
                </w:r>
              </w:p>
            </w:txbxContent>
          </v:textbox>
          <w10:wrap type="none"/>
        </v:shape>
      </w:pict>
    </w:r>
    <w:r>
      <w:rPr/>
      <w:pict>
        <v:shape style="position:absolute;margin-left:514.419983pt;margin-top:782.082764pt;width:12pt;height:13.35pt;mso-position-horizontal-relative:page;mso-position-vertical-relative:page;z-index:-251830272" type="#_x0000_t202" filled="false" stroked="false">
          <v:textbox inset="0,0,0,0">
            <w:txbxContent>
              <w:p>
                <w:pPr>
                  <w:spacing w:before="19"/>
                  <w:ind w:left="60" w:right="0" w:firstLine="0"/>
                  <w:jc w:val="left"/>
                  <w:rPr>
                    <w:sz w:val="20"/>
                  </w:rPr>
                </w:pPr>
                <w:r>
                  <w:rPr/>
                  <w:fldChar w:fldCharType="begin"/>
                </w:r>
                <w:r>
                  <w:rPr>
                    <w:w w:val="99"/>
                    <w:sz w:val="20"/>
                  </w:rPr>
                  <w:instrText> PAGE </w:instrText>
                </w:r>
                <w:r>
                  <w:rPr/>
                  <w:fldChar w:fldCharType="separate"/>
                </w:r>
                <w:r>
                  <w:rPr/>
                  <w:t>8</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0" w:hanging="418"/>
        <w:jc w:val="right"/>
      </w:pPr>
      <w:rPr>
        <w:rFonts w:hint="default" w:ascii="Georgia" w:hAnsi="Georgia" w:eastAsia="Georgia" w:cs="Georgia"/>
        <w:b/>
        <w:bCs/>
        <w:w w:val="99"/>
        <w:sz w:val="26"/>
        <w:szCs w:val="26"/>
        <w:lang w:val="en-us" w:eastAsia="en-us" w:bidi="en-us"/>
      </w:rPr>
    </w:lvl>
    <w:lvl w:ilvl="1">
      <w:start w:val="1"/>
      <w:numFmt w:val="lowerRoman"/>
      <w:lvlText w:val="(%2)"/>
      <w:lvlJc w:val="left"/>
      <w:pPr>
        <w:ind w:left="1540" w:hanging="588"/>
        <w:jc w:val="left"/>
      </w:pPr>
      <w:rPr>
        <w:rFonts w:hint="default"/>
        <w:i/>
        <w:spacing w:val="-1"/>
        <w:w w:val="99"/>
        <w:lang w:val="en-us" w:eastAsia="en-us" w:bidi="en-us"/>
      </w:rPr>
    </w:lvl>
    <w:lvl w:ilvl="2">
      <w:start w:val="0"/>
      <w:numFmt w:val="bullet"/>
      <w:lvlText w:val="•"/>
      <w:lvlJc w:val="left"/>
      <w:pPr>
        <w:ind w:left="1540" w:hanging="588"/>
      </w:pPr>
      <w:rPr>
        <w:rFonts w:hint="default"/>
        <w:lang w:val="en-us" w:eastAsia="en-us" w:bidi="en-us"/>
      </w:rPr>
    </w:lvl>
    <w:lvl w:ilvl="3">
      <w:start w:val="0"/>
      <w:numFmt w:val="bullet"/>
      <w:lvlText w:val="•"/>
      <w:lvlJc w:val="left"/>
      <w:pPr>
        <w:ind w:left="2840" w:hanging="588"/>
      </w:pPr>
      <w:rPr>
        <w:rFonts w:hint="default"/>
        <w:lang w:val="en-us" w:eastAsia="en-us" w:bidi="en-us"/>
      </w:rPr>
    </w:lvl>
    <w:lvl w:ilvl="4">
      <w:start w:val="0"/>
      <w:numFmt w:val="bullet"/>
      <w:lvlText w:val="•"/>
      <w:lvlJc w:val="left"/>
      <w:pPr>
        <w:ind w:left="3778" w:hanging="588"/>
      </w:pPr>
      <w:rPr>
        <w:rFonts w:hint="default"/>
        <w:lang w:val="en-us" w:eastAsia="en-us" w:bidi="en-us"/>
      </w:rPr>
    </w:lvl>
    <w:lvl w:ilvl="5">
      <w:start w:val="0"/>
      <w:numFmt w:val="bullet"/>
      <w:lvlText w:val="•"/>
      <w:lvlJc w:val="left"/>
      <w:pPr>
        <w:ind w:left="4716" w:hanging="588"/>
      </w:pPr>
      <w:rPr>
        <w:rFonts w:hint="default"/>
        <w:lang w:val="en-us" w:eastAsia="en-us" w:bidi="en-us"/>
      </w:rPr>
    </w:lvl>
    <w:lvl w:ilvl="6">
      <w:start w:val="0"/>
      <w:numFmt w:val="bullet"/>
      <w:lvlText w:val="•"/>
      <w:lvlJc w:val="left"/>
      <w:pPr>
        <w:ind w:left="5654" w:hanging="588"/>
      </w:pPr>
      <w:rPr>
        <w:rFonts w:hint="default"/>
        <w:lang w:val="en-us" w:eastAsia="en-us" w:bidi="en-us"/>
      </w:rPr>
    </w:lvl>
    <w:lvl w:ilvl="7">
      <w:start w:val="0"/>
      <w:numFmt w:val="bullet"/>
      <w:lvlText w:val="•"/>
      <w:lvlJc w:val="left"/>
      <w:pPr>
        <w:ind w:left="6592" w:hanging="588"/>
      </w:pPr>
      <w:rPr>
        <w:rFonts w:hint="default"/>
        <w:lang w:val="en-us" w:eastAsia="en-us" w:bidi="en-us"/>
      </w:rPr>
    </w:lvl>
    <w:lvl w:ilvl="8">
      <w:start w:val="0"/>
      <w:numFmt w:val="bullet"/>
      <w:lvlText w:val="•"/>
      <w:lvlJc w:val="left"/>
      <w:pPr>
        <w:ind w:left="7530" w:hanging="588"/>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en-us"/>
    </w:rPr>
  </w:style>
  <w:style w:styleId="BodyText" w:type="paragraph">
    <w:name w:val="Body Text"/>
    <w:basedOn w:val="Normal"/>
    <w:uiPriority w:val="1"/>
    <w:qFormat/>
    <w:pPr/>
    <w:rPr>
      <w:rFonts w:ascii="Georgia" w:hAnsi="Georgia" w:eastAsia="Georgia" w:cs="Georgia"/>
      <w:sz w:val="26"/>
      <w:szCs w:val="26"/>
      <w:lang w:val="en-us" w:eastAsia="en-us" w:bidi="en-us"/>
    </w:rPr>
  </w:style>
  <w:style w:styleId="Heading1" w:type="paragraph">
    <w:name w:val="Heading 1"/>
    <w:basedOn w:val="Normal"/>
    <w:uiPriority w:val="1"/>
    <w:qFormat/>
    <w:pPr>
      <w:jc w:val="center"/>
      <w:outlineLvl w:val="1"/>
    </w:pPr>
    <w:rPr>
      <w:rFonts w:ascii="Georgia" w:hAnsi="Georgia" w:eastAsia="Georgia" w:cs="Georgia"/>
      <w:b/>
      <w:bCs/>
      <w:sz w:val="26"/>
      <w:szCs w:val="26"/>
      <w:lang w:val="en-us" w:eastAsia="en-us" w:bidi="en-us"/>
    </w:rPr>
  </w:style>
  <w:style w:styleId="Heading2" w:type="paragraph">
    <w:name w:val="Heading 2"/>
    <w:basedOn w:val="Normal"/>
    <w:uiPriority w:val="1"/>
    <w:qFormat/>
    <w:pPr>
      <w:ind w:left="1540" w:hanging="589"/>
      <w:outlineLvl w:val="2"/>
    </w:pPr>
    <w:rPr>
      <w:rFonts w:ascii="Georgia" w:hAnsi="Georgia" w:eastAsia="Georgia" w:cs="Georgia"/>
      <w:b/>
      <w:bCs/>
      <w:i/>
      <w:sz w:val="26"/>
      <w:szCs w:val="26"/>
      <w:lang w:val="en-us" w:eastAsia="en-us" w:bidi="en-us"/>
    </w:rPr>
  </w:style>
  <w:style w:styleId="ListParagraph" w:type="paragraph">
    <w:name w:val="List Paragraph"/>
    <w:basedOn w:val="Normal"/>
    <w:uiPriority w:val="1"/>
    <w:qFormat/>
    <w:pPr>
      <w:spacing w:before="1"/>
      <w:ind w:left="100" w:right="111" w:hanging="711"/>
      <w:jc w:val="both"/>
    </w:pPr>
    <w:rPr>
      <w:rFonts w:ascii="Georgia" w:hAnsi="Georgia" w:eastAsia="Georgia" w:cs="Georgia"/>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SUPREME</dc:creator>
  <dcterms:created xsi:type="dcterms:W3CDTF">2025-03-19T16:38:20Z</dcterms:created>
  <dcterms:modified xsi:type="dcterms:W3CDTF">2025-03-19T16:38:20Z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2019</vt:lpwstr>
  </property>
  <property fmtid="{D5CDD505-2E9C-101B-9397-08002B2CF9AE}" pid="4" name="LastSaved">
    <vt:filetime>2025-03-19T00:00:00Z</vt:filetime>
  </property>
</Properties>
</file>