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61A86" w14:textId="3305475E" w:rsidR="000D5BF0" w:rsidRPr="00975509" w:rsidRDefault="000D5BF0" w:rsidP="00975509">
      <w:pPr>
        <w:pStyle w:val="Title"/>
        <w:jc w:val="center"/>
        <w:rPr>
          <w:b/>
          <w:bCs/>
          <w:i/>
          <w:iCs/>
          <w:sz w:val="32"/>
          <w:szCs w:val="32"/>
        </w:rPr>
      </w:pPr>
      <w:r>
        <w:rPr>
          <w:b/>
          <w:bCs/>
          <w:i/>
          <w:iCs/>
          <w:sz w:val="32"/>
          <w:szCs w:val="32"/>
          <w:lang w:val="en-US"/>
        </w:rPr>
        <w:t>“</w:t>
      </w:r>
      <w:r w:rsidR="00975509">
        <w:rPr>
          <w:b/>
          <w:bCs/>
          <w:i/>
          <w:iCs/>
          <w:sz w:val="32"/>
          <w:szCs w:val="32"/>
        </w:rPr>
        <w:t>Performance_Analytics_App</w:t>
      </w:r>
      <w:r w:rsidRPr="000D5BF0">
        <w:rPr>
          <w:b/>
          <w:bCs/>
          <w:i/>
          <w:iCs/>
          <w:sz w:val="32"/>
          <w:szCs w:val="32"/>
        </w:rPr>
        <w:t>.py</w:t>
      </w:r>
      <w:r>
        <w:rPr>
          <w:b/>
          <w:bCs/>
          <w:sz w:val="32"/>
          <w:szCs w:val="32"/>
        </w:rPr>
        <w:t xml:space="preserve">” – </w:t>
      </w:r>
      <w:r w:rsidRPr="000D5BF0">
        <w:rPr>
          <w:b/>
          <w:bCs/>
          <w:sz w:val="32"/>
          <w:szCs w:val="32"/>
        </w:rPr>
        <w:t>Documentation</w:t>
      </w:r>
    </w:p>
    <w:p w14:paraId="6FAB9921" w14:textId="111D8229" w:rsidR="000D5BF0" w:rsidRDefault="000D5BF0" w:rsidP="000D5BF0">
      <w:pPr>
        <w:pStyle w:val="Heading1"/>
        <w:rPr>
          <w:sz w:val="28"/>
          <w:szCs w:val="28"/>
        </w:rPr>
      </w:pPr>
      <w:r w:rsidRPr="000D5BF0">
        <w:rPr>
          <w:sz w:val="28"/>
          <w:szCs w:val="28"/>
        </w:rPr>
        <w:t>Description</w:t>
      </w:r>
      <w:r>
        <w:rPr>
          <w:sz w:val="28"/>
          <w:szCs w:val="28"/>
        </w:rPr>
        <w:t>:</w:t>
      </w:r>
    </w:p>
    <w:p w14:paraId="48DFF9ED" w14:textId="5EF8E158" w:rsidR="0088040D" w:rsidRDefault="00F43FBE" w:rsidP="000D5BF0">
      <w:r>
        <w:t>This file contains a Performance Advisor class which performs performance appraisals to inform users of how good their market time and stock picking skills are</w:t>
      </w:r>
      <w:r w:rsidR="000824A1">
        <w:t xml:space="preserve">. Letting users know whether their returns come from a wide range of factor loadings or skill value added (alphas). Similar to the Risk Advisor, Performance Advisor is designed to have the capability of </w:t>
      </w:r>
      <w:r w:rsidR="00967AF1">
        <w:t xml:space="preserve">running on 1. Historical trades, 2. Hypothetical positions. 3. Streaming live portfolio, and it is connected to </w:t>
      </w:r>
      <w:r w:rsidR="00967AF1">
        <w:t>other parts in PARIS system including Back_Testor, Live_Trading_Assistant and actual historical trades database.</w:t>
      </w:r>
    </w:p>
    <w:p w14:paraId="56DEAE2E" w14:textId="7B744662" w:rsidR="0088040D" w:rsidRDefault="0088040D" w:rsidP="0088040D">
      <w:pPr>
        <w:pStyle w:val="Heading1"/>
        <w:rPr>
          <w:sz w:val="28"/>
          <w:szCs w:val="28"/>
        </w:rPr>
      </w:pPr>
      <w:r w:rsidRPr="0088040D">
        <w:rPr>
          <w:sz w:val="28"/>
          <w:szCs w:val="28"/>
        </w:rPr>
        <w:t>Depe</w:t>
      </w:r>
      <w:r>
        <w:rPr>
          <w:sz w:val="28"/>
          <w:szCs w:val="28"/>
        </w:rPr>
        <w:t>ndencies:</w:t>
      </w:r>
    </w:p>
    <w:p w14:paraId="00B70846" w14:textId="2C71ABB6" w:rsidR="000111F9" w:rsidRDefault="000111F9" w:rsidP="0088040D">
      <w:pPr>
        <w:pStyle w:val="ListParagraph"/>
        <w:numPr>
          <w:ilvl w:val="0"/>
          <w:numId w:val="1"/>
        </w:numPr>
      </w:pPr>
      <w:r>
        <w:t>Risk_Advisor</w:t>
      </w:r>
    </w:p>
    <w:p w14:paraId="1FD53B83" w14:textId="5A7062AC" w:rsidR="000111F9" w:rsidRDefault="000111F9" w:rsidP="0088040D">
      <w:pPr>
        <w:pStyle w:val="ListParagraph"/>
        <w:numPr>
          <w:ilvl w:val="0"/>
          <w:numId w:val="1"/>
        </w:numPr>
      </w:pPr>
      <w:r>
        <w:t>DB_Operator</w:t>
      </w:r>
    </w:p>
    <w:p w14:paraId="7203C21E" w14:textId="7965A421" w:rsidR="0088040D" w:rsidRDefault="000111F9" w:rsidP="0088040D">
      <w:pPr>
        <w:pStyle w:val="ListParagraph"/>
        <w:numPr>
          <w:ilvl w:val="0"/>
          <w:numId w:val="1"/>
        </w:numPr>
      </w:pPr>
      <w:r>
        <w:t>All other dependencies Risk_Advisor ha</w:t>
      </w:r>
      <w:r w:rsidR="00745B6B">
        <w:t>s</w:t>
      </w:r>
    </w:p>
    <w:p w14:paraId="42475DEB" w14:textId="7317EBB0" w:rsidR="0088040D" w:rsidRDefault="0088040D" w:rsidP="0088040D">
      <w:pPr>
        <w:pStyle w:val="Heading1"/>
        <w:rPr>
          <w:sz w:val="28"/>
          <w:szCs w:val="28"/>
        </w:rPr>
      </w:pPr>
      <w:r>
        <w:rPr>
          <w:sz w:val="28"/>
          <w:szCs w:val="28"/>
        </w:rPr>
        <w:t>Class Function Descriptions:</w:t>
      </w:r>
    </w:p>
    <w:tbl>
      <w:tblPr>
        <w:tblStyle w:val="TableGrid"/>
        <w:tblW w:w="9209" w:type="dxa"/>
        <w:tblLook w:val="04A0" w:firstRow="1" w:lastRow="0" w:firstColumn="1" w:lastColumn="0" w:noHBand="0" w:noVBand="1"/>
      </w:tblPr>
      <w:tblGrid>
        <w:gridCol w:w="2652"/>
        <w:gridCol w:w="1678"/>
        <w:gridCol w:w="1457"/>
        <w:gridCol w:w="3422"/>
      </w:tblGrid>
      <w:tr w:rsidR="00326AE4" w14:paraId="3F290B9B" w14:textId="77777777" w:rsidTr="00745B6B">
        <w:tc>
          <w:tcPr>
            <w:tcW w:w="1924" w:type="dxa"/>
          </w:tcPr>
          <w:p w14:paraId="34B84A55" w14:textId="7056FA13" w:rsidR="00F51C8B" w:rsidRPr="00F51C8B" w:rsidRDefault="00F51C8B" w:rsidP="0088040D">
            <w:pPr>
              <w:pStyle w:val="Subtitle"/>
              <w:rPr>
                <w:b/>
                <w:bCs/>
              </w:rPr>
            </w:pPr>
            <w:r w:rsidRPr="00F51C8B">
              <w:rPr>
                <w:b/>
                <w:bCs/>
              </w:rPr>
              <w:t>Function Name</w:t>
            </w:r>
          </w:p>
        </w:tc>
        <w:tc>
          <w:tcPr>
            <w:tcW w:w="1757" w:type="dxa"/>
          </w:tcPr>
          <w:p w14:paraId="1D0875CC" w14:textId="7B1B65DC" w:rsidR="00F51C8B" w:rsidRPr="00F51C8B" w:rsidRDefault="00F51C8B" w:rsidP="0088040D">
            <w:pPr>
              <w:pStyle w:val="Subtitle"/>
              <w:rPr>
                <w:b/>
                <w:bCs/>
              </w:rPr>
            </w:pPr>
            <w:r w:rsidRPr="00F51C8B">
              <w:rPr>
                <w:b/>
                <w:bCs/>
              </w:rPr>
              <w:t>Inputs</w:t>
            </w:r>
          </w:p>
        </w:tc>
        <w:tc>
          <w:tcPr>
            <w:tcW w:w="1559" w:type="dxa"/>
          </w:tcPr>
          <w:p w14:paraId="01A6C58A" w14:textId="49CABA54" w:rsidR="00F51C8B" w:rsidRPr="00F51C8B" w:rsidRDefault="00F51C8B" w:rsidP="0088040D">
            <w:pPr>
              <w:pStyle w:val="Subtitle"/>
              <w:rPr>
                <w:b/>
                <w:bCs/>
              </w:rPr>
            </w:pPr>
            <w:r w:rsidRPr="00F51C8B">
              <w:rPr>
                <w:b/>
                <w:bCs/>
              </w:rPr>
              <w:t>Output</w:t>
            </w:r>
          </w:p>
        </w:tc>
        <w:tc>
          <w:tcPr>
            <w:tcW w:w="3969" w:type="dxa"/>
          </w:tcPr>
          <w:p w14:paraId="689BE18F" w14:textId="61F90BEF" w:rsidR="00F51C8B" w:rsidRPr="00F51C8B" w:rsidRDefault="00F51C8B" w:rsidP="0088040D">
            <w:pPr>
              <w:pStyle w:val="Subtitle"/>
              <w:rPr>
                <w:b/>
                <w:bCs/>
              </w:rPr>
            </w:pPr>
            <w:r w:rsidRPr="00F51C8B">
              <w:rPr>
                <w:b/>
                <w:bCs/>
              </w:rPr>
              <w:t>Description</w:t>
            </w:r>
          </w:p>
        </w:tc>
      </w:tr>
      <w:tr w:rsidR="00326AE4" w:rsidRPr="00F51C8B" w14:paraId="7B2B0C43" w14:textId="77777777" w:rsidTr="00745B6B">
        <w:tc>
          <w:tcPr>
            <w:tcW w:w="1924" w:type="dxa"/>
          </w:tcPr>
          <w:p w14:paraId="24AF1F4A" w14:textId="16AFEAF4" w:rsidR="00F51C8B" w:rsidRPr="00F51C8B" w:rsidRDefault="00F51C8B" w:rsidP="0088040D">
            <w:pPr>
              <w:pStyle w:val="Subtitle"/>
              <w:rPr>
                <w:rFonts w:cstheme="minorHAnsi"/>
                <w:sz w:val="18"/>
                <w:szCs w:val="18"/>
              </w:rPr>
            </w:pPr>
            <w:r w:rsidRPr="00F51C8B">
              <w:rPr>
                <w:rFonts w:cstheme="minorHAnsi"/>
                <w:sz w:val="18"/>
                <w:szCs w:val="18"/>
              </w:rPr>
              <w:t>Constructor</w:t>
            </w:r>
          </w:p>
        </w:tc>
        <w:tc>
          <w:tcPr>
            <w:tcW w:w="1757" w:type="dxa"/>
          </w:tcPr>
          <w:p w14:paraId="478CA32B" w14:textId="380D3F95" w:rsidR="00F51C8B" w:rsidRDefault="00745B6B" w:rsidP="0088040D">
            <w:pPr>
              <w:pStyle w:val="Subtitle"/>
              <w:rPr>
                <w:rFonts w:cstheme="minorHAnsi"/>
                <w:sz w:val="18"/>
                <w:szCs w:val="18"/>
              </w:rPr>
            </w:pPr>
            <w:r>
              <w:rPr>
                <w:rFonts w:cstheme="minorHAnsi"/>
                <w:sz w:val="18"/>
                <w:szCs w:val="18"/>
              </w:rPr>
              <w:t xml:space="preserve">Graphic (bool), </w:t>
            </w:r>
          </w:p>
          <w:p w14:paraId="6F4CFEFC" w14:textId="77777777" w:rsidR="00745B6B" w:rsidRPr="00745B6B" w:rsidRDefault="00745B6B" w:rsidP="00745B6B"/>
          <w:p w14:paraId="6D501586" w14:textId="6FAA0EA4" w:rsidR="00745B6B" w:rsidRPr="00745B6B" w:rsidRDefault="00745B6B" w:rsidP="00745B6B">
            <w:r w:rsidRPr="00745B6B">
              <w:rPr>
                <w:rFonts w:cstheme="minorHAnsi"/>
                <w:color w:val="5A5A5A" w:themeColor="text1" w:themeTint="A5"/>
                <w:spacing w:val="15"/>
                <w:sz w:val="18"/>
                <w:szCs w:val="18"/>
              </w:rPr>
              <w:t>All other</w:t>
            </w:r>
            <w:r>
              <w:rPr>
                <w:rFonts w:cstheme="minorHAnsi"/>
                <w:color w:val="5A5A5A" w:themeColor="text1" w:themeTint="A5"/>
                <w:spacing w:val="15"/>
                <w:sz w:val="18"/>
                <w:szCs w:val="18"/>
              </w:rPr>
              <w:t xml:space="preserve"> input</w:t>
            </w:r>
            <w:r w:rsidR="003A4B3C">
              <w:rPr>
                <w:rFonts w:cstheme="minorHAnsi"/>
                <w:color w:val="5A5A5A" w:themeColor="text1" w:themeTint="A5"/>
                <w:spacing w:val="15"/>
                <w:sz w:val="18"/>
                <w:szCs w:val="18"/>
              </w:rPr>
              <w:t xml:space="preserve"> options</w:t>
            </w:r>
            <w:r>
              <w:rPr>
                <w:rFonts w:cstheme="minorHAnsi"/>
                <w:color w:val="5A5A5A" w:themeColor="text1" w:themeTint="A5"/>
                <w:spacing w:val="15"/>
                <w:sz w:val="18"/>
                <w:szCs w:val="18"/>
              </w:rPr>
              <w:t xml:space="preserve"> available for Risk Advisor construct</w:t>
            </w:r>
            <w:r w:rsidR="003A4B3C">
              <w:rPr>
                <w:rFonts w:cstheme="minorHAnsi"/>
                <w:color w:val="5A5A5A" w:themeColor="text1" w:themeTint="A5"/>
                <w:spacing w:val="15"/>
                <w:sz w:val="18"/>
                <w:szCs w:val="18"/>
              </w:rPr>
              <w:t>or</w:t>
            </w:r>
          </w:p>
        </w:tc>
        <w:tc>
          <w:tcPr>
            <w:tcW w:w="1559" w:type="dxa"/>
          </w:tcPr>
          <w:p w14:paraId="51CCB3AE" w14:textId="6DF60D92" w:rsidR="00F51C8B" w:rsidRPr="00F51C8B" w:rsidRDefault="00F51C8B" w:rsidP="0088040D">
            <w:pPr>
              <w:pStyle w:val="Subtitle"/>
              <w:rPr>
                <w:rFonts w:cstheme="minorHAnsi"/>
                <w:sz w:val="18"/>
                <w:szCs w:val="18"/>
              </w:rPr>
            </w:pPr>
            <w:r>
              <w:rPr>
                <w:rFonts w:cstheme="minorHAnsi"/>
                <w:sz w:val="18"/>
                <w:szCs w:val="18"/>
              </w:rPr>
              <w:t>None</w:t>
            </w:r>
          </w:p>
        </w:tc>
        <w:tc>
          <w:tcPr>
            <w:tcW w:w="3969" w:type="dxa"/>
          </w:tcPr>
          <w:p w14:paraId="3456A600" w14:textId="2111E3CB" w:rsidR="00F51C8B" w:rsidRPr="00F51C8B" w:rsidRDefault="00745B6B" w:rsidP="0088040D">
            <w:pPr>
              <w:pStyle w:val="Subtitle"/>
              <w:rPr>
                <w:rFonts w:cstheme="minorHAnsi"/>
                <w:sz w:val="18"/>
                <w:szCs w:val="18"/>
              </w:rPr>
            </w:pPr>
            <w:r>
              <w:rPr>
                <w:rFonts w:cstheme="minorHAnsi"/>
                <w:sz w:val="18"/>
                <w:szCs w:val="18"/>
              </w:rPr>
              <w:t>Performance Advisor is an inherited class from Risk Advisor and it inherits the constructor function too. Performance Advisor can also be constructed in same three ways as described in previous documentations. It has its own Graphic choice to alter its output types.</w:t>
            </w:r>
          </w:p>
        </w:tc>
      </w:tr>
      <w:tr w:rsidR="00326AE4" w:rsidRPr="00F51C8B" w14:paraId="6F4E9237" w14:textId="77777777" w:rsidTr="00745B6B">
        <w:tc>
          <w:tcPr>
            <w:tcW w:w="1924" w:type="dxa"/>
          </w:tcPr>
          <w:p w14:paraId="3D82645F" w14:textId="679B63BC" w:rsidR="00F51C8B" w:rsidRPr="00F51C8B" w:rsidRDefault="00745B6B" w:rsidP="0088040D">
            <w:pPr>
              <w:pStyle w:val="Subtitle"/>
              <w:rPr>
                <w:rFonts w:cstheme="minorHAnsi"/>
                <w:sz w:val="18"/>
                <w:szCs w:val="18"/>
              </w:rPr>
            </w:pPr>
            <w:r w:rsidRPr="00745B6B">
              <w:rPr>
                <w:rFonts w:cstheme="minorHAnsi"/>
                <w:sz w:val="18"/>
                <w:szCs w:val="18"/>
              </w:rPr>
              <w:t>Basic_chart</w:t>
            </w:r>
          </w:p>
        </w:tc>
        <w:tc>
          <w:tcPr>
            <w:tcW w:w="1757" w:type="dxa"/>
          </w:tcPr>
          <w:p w14:paraId="4E515811" w14:textId="2A3E3F47" w:rsidR="00F51C8B" w:rsidRPr="00F51C8B" w:rsidRDefault="00745B6B" w:rsidP="0088040D">
            <w:pPr>
              <w:pStyle w:val="Subtitle"/>
              <w:rPr>
                <w:rFonts w:cstheme="minorHAnsi"/>
                <w:sz w:val="18"/>
                <w:szCs w:val="18"/>
              </w:rPr>
            </w:pPr>
            <w:r>
              <w:rPr>
                <w:rFonts w:cstheme="minorHAnsi"/>
                <w:sz w:val="18"/>
                <w:szCs w:val="18"/>
              </w:rPr>
              <w:t>None</w:t>
            </w:r>
          </w:p>
        </w:tc>
        <w:tc>
          <w:tcPr>
            <w:tcW w:w="1559" w:type="dxa"/>
          </w:tcPr>
          <w:p w14:paraId="26CA6230" w14:textId="37B9B27F" w:rsidR="00F51C8B" w:rsidRPr="00F51C8B" w:rsidRDefault="00745B6B" w:rsidP="0088040D">
            <w:pPr>
              <w:pStyle w:val="Subtitle"/>
              <w:rPr>
                <w:rFonts w:cstheme="minorHAnsi"/>
                <w:sz w:val="18"/>
                <w:szCs w:val="18"/>
              </w:rPr>
            </w:pPr>
            <w:r>
              <w:rPr>
                <w:rFonts w:cstheme="minorHAnsi"/>
                <w:sz w:val="18"/>
                <w:szCs w:val="18"/>
              </w:rPr>
              <w:t>Line plot (plt)</w:t>
            </w:r>
          </w:p>
        </w:tc>
        <w:tc>
          <w:tcPr>
            <w:tcW w:w="3969" w:type="dxa"/>
          </w:tcPr>
          <w:p w14:paraId="21AC6FED" w14:textId="2747222B" w:rsidR="00F51C8B" w:rsidRPr="00F51C8B" w:rsidRDefault="003A4B3C" w:rsidP="0088040D">
            <w:pPr>
              <w:pStyle w:val="Subtitle"/>
              <w:rPr>
                <w:rFonts w:cstheme="minorHAnsi"/>
                <w:sz w:val="18"/>
                <w:szCs w:val="18"/>
              </w:rPr>
            </w:pPr>
            <w:r>
              <w:rPr>
                <w:rFonts w:cstheme="minorHAnsi"/>
                <w:sz w:val="18"/>
                <w:szCs w:val="18"/>
              </w:rPr>
              <w:t xml:space="preserve">This function plots the portfolio </w:t>
            </w:r>
            <w:r w:rsidR="00A16E8E">
              <w:rPr>
                <w:rFonts w:cstheme="minorHAnsi"/>
                <w:sz w:val="18"/>
                <w:szCs w:val="18"/>
              </w:rPr>
              <w:t>equity and benchmark on a line chart.</w:t>
            </w:r>
          </w:p>
        </w:tc>
      </w:tr>
      <w:tr w:rsidR="00326AE4" w:rsidRPr="00F51C8B" w14:paraId="212A6559" w14:textId="77777777" w:rsidTr="00745B6B">
        <w:tc>
          <w:tcPr>
            <w:tcW w:w="1924" w:type="dxa"/>
          </w:tcPr>
          <w:p w14:paraId="344C2DE2" w14:textId="2288EFCB" w:rsidR="00F51C8B" w:rsidRPr="00F51C8B" w:rsidRDefault="00A16E8E" w:rsidP="0088040D">
            <w:pPr>
              <w:pStyle w:val="Subtitle"/>
              <w:rPr>
                <w:rFonts w:cstheme="minorHAnsi"/>
                <w:sz w:val="18"/>
                <w:szCs w:val="18"/>
              </w:rPr>
            </w:pPr>
            <w:r w:rsidRPr="00A16E8E">
              <w:rPr>
                <w:rFonts w:cstheme="minorHAnsi"/>
                <w:sz w:val="18"/>
                <w:szCs w:val="18"/>
              </w:rPr>
              <w:t>Exposure_vs_Benchmark</w:t>
            </w:r>
          </w:p>
        </w:tc>
        <w:tc>
          <w:tcPr>
            <w:tcW w:w="1757" w:type="dxa"/>
          </w:tcPr>
          <w:p w14:paraId="69891223" w14:textId="517C2118" w:rsidR="00F51C8B" w:rsidRPr="00F51C8B" w:rsidRDefault="00A16E8E" w:rsidP="0088040D">
            <w:pPr>
              <w:pStyle w:val="Subtitle"/>
              <w:rPr>
                <w:rFonts w:cstheme="minorHAnsi"/>
                <w:sz w:val="18"/>
                <w:szCs w:val="18"/>
              </w:rPr>
            </w:pPr>
            <w:r>
              <w:rPr>
                <w:rFonts w:cstheme="minorHAnsi"/>
                <w:sz w:val="18"/>
                <w:szCs w:val="18"/>
              </w:rPr>
              <w:t>style</w:t>
            </w:r>
            <w:r w:rsidR="00F51C8B">
              <w:rPr>
                <w:rFonts w:cstheme="minorHAnsi"/>
                <w:sz w:val="18"/>
                <w:szCs w:val="18"/>
              </w:rPr>
              <w:t xml:space="preserve"> (str)</w:t>
            </w:r>
          </w:p>
        </w:tc>
        <w:tc>
          <w:tcPr>
            <w:tcW w:w="1559" w:type="dxa"/>
          </w:tcPr>
          <w:p w14:paraId="1940C0AE" w14:textId="4F3460F3" w:rsidR="00A16E8E" w:rsidRDefault="00A16E8E" w:rsidP="00A16E8E">
            <w:pPr>
              <w:pStyle w:val="Subtitle"/>
              <w:tabs>
                <w:tab w:val="left" w:pos="955"/>
              </w:tabs>
              <w:rPr>
                <w:rFonts w:cstheme="minorHAnsi"/>
                <w:sz w:val="18"/>
                <w:szCs w:val="18"/>
              </w:rPr>
            </w:pPr>
            <w:r>
              <w:rPr>
                <w:rFonts w:cstheme="minorHAnsi"/>
                <w:sz w:val="18"/>
                <w:szCs w:val="18"/>
              </w:rPr>
              <w:t>styled plot</w:t>
            </w:r>
          </w:p>
          <w:p w14:paraId="674B3196" w14:textId="6AA5D0E5" w:rsidR="00F51C8B" w:rsidRPr="00F51C8B" w:rsidRDefault="00A16E8E" w:rsidP="00A16E8E">
            <w:pPr>
              <w:pStyle w:val="Subtitle"/>
              <w:tabs>
                <w:tab w:val="left" w:pos="955"/>
              </w:tabs>
              <w:rPr>
                <w:rFonts w:cstheme="minorHAnsi"/>
                <w:sz w:val="18"/>
                <w:szCs w:val="18"/>
              </w:rPr>
            </w:pPr>
            <w:r>
              <w:rPr>
                <w:rFonts w:cstheme="minorHAnsi"/>
                <w:sz w:val="18"/>
                <w:szCs w:val="18"/>
              </w:rPr>
              <w:t>(plt)</w:t>
            </w:r>
            <w:r>
              <w:rPr>
                <w:rFonts w:cstheme="minorHAnsi"/>
                <w:sz w:val="18"/>
                <w:szCs w:val="18"/>
              </w:rPr>
              <w:tab/>
            </w:r>
          </w:p>
        </w:tc>
        <w:tc>
          <w:tcPr>
            <w:tcW w:w="3969" w:type="dxa"/>
          </w:tcPr>
          <w:p w14:paraId="01A44E4B" w14:textId="77777777" w:rsidR="00326AE4" w:rsidRDefault="00A16E8E" w:rsidP="0088040D">
            <w:pPr>
              <w:pStyle w:val="Subtitle"/>
              <w:rPr>
                <w:rFonts w:cstheme="minorHAnsi"/>
                <w:sz w:val="18"/>
                <w:szCs w:val="18"/>
              </w:rPr>
            </w:pPr>
            <w:r>
              <w:rPr>
                <w:rFonts w:cstheme="minorHAnsi"/>
                <w:sz w:val="18"/>
                <w:szCs w:val="18"/>
              </w:rPr>
              <w:t>This function plots gross and net exposure over</w:t>
            </w:r>
            <w:r w:rsidR="00326AE4">
              <w:rPr>
                <w:rFonts w:cstheme="minorHAnsi"/>
                <w:sz w:val="18"/>
                <w:szCs w:val="18"/>
              </w:rPr>
              <w:t xml:space="preserve"> time, alongside benchmark. Style of this plot can be changed, its default value is line plot.</w:t>
            </w:r>
          </w:p>
          <w:p w14:paraId="7C6B3582" w14:textId="77777777" w:rsidR="00F51C8B" w:rsidRDefault="00326AE4" w:rsidP="0088040D">
            <w:pPr>
              <w:pStyle w:val="Subtitle"/>
              <w:rPr>
                <w:rFonts w:cstheme="minorHAnsi"/>
                <w:sz w:val="18"/>
                <w:szCs w:val="18"/>
              </w:rPr>
            </w:pPr>
            <w:r>
              <w:rPr>
                <w:rFonts w:cstheme="minorHAnsi"/>
                <w:sz w:val="18"/>
                <w:szCs w:val="18"/>
              </w:rPr>
              <w:t xml:space="preserve">Reason for change of style is because portfolio may not have </w:t>
            </w:r>
            <w:r w:rsidR="00856F62">
              <w:rPr>
                <w:rFonts w:cstheme="minorHAnsi"/>
                <w:sz w:val="18"/>
                <w:szCs w:val="18"/>
              </w:rPr>
              <w:t>holding all the time then line plot will be messier.</w:t>
            </w:r>
            <w:r>
              <w:rPr>
                <w:rFonts w:cstheme="minorHAnsi"/>
                <w:sz w:val="18"/>
                <w:szCs w:val="18"/>
              </w:rPr>
              <w:t xml:space="preserve"> </w:t>
            </w:r>
          </w:p>
          <w:p w14:paraId="4A89BD27" w14:textId="5891DDBC" w:rsidR="00856F62" w:rsidRPr="00856F62" w:rsidRDefault="00856F62" w:rsidP="00856F62">
            <w:r w:rsidRPr="00856F62">
              <w:rPr>
                <w:rFonts w:cstheme="minorHAnsi"/>
                <w:color w:val="5A5A5A" w:themeColor="text1" w:themeTint="A5"/>
                <w:spacing w:val="15"/>
                <w:sz w:val="18"/>
                <w:szCs w:val="18"/>
              </w:rPr>
              <w:t>This plot indicates market timing</w:t>
            </w:r>
            <w:r>
              <w:rPr>
                <w:rFonts w:cstheme="minorHAnsi"/>
                <w:color w:val="5A5A5A" w:themeColor="text1" w:themeTint="A5"/>
                <w:spacing w:val="15"/>
                <w:sz w:val="18"/>
                <w:szCs w:val="18"/>
              </w:rPr>
              <w:t>.</w:t>
            </w:r>
          </w:p>
        </w:tc>
      </w:tr>
      <w:tr w:rsidR="00326AE4" w:rsidRPr="00F51C8B" w14:paraId="627D621F" w14:textId="77777777" w:rsidTr="00745B6B">
        <w:tc>
          <w:tcPr>
            <w:tcW w:w="1924" w:type="dxa"/>
          </w:tcPr>
          <w:p w14:paraId="727EDB8C" w14:textId="46AE0386" w:rsidR="00F51C8B" w:rsidRPr="00F51C8B" w:rsidRDefault="00326AE4" w:rsidP="0088040D">
            <w:pPr>
              <w:pStyle w:val="Subtitle"/>
              <w:rPr>
                <w:rFonts w:cstheme="minorHAnsi"/>
                <w:sz w:val="18"/>
                <w:szCs w:val="18"/>
              </w:rPr>
            </w:pPr>
            <w:r w:rsidRPr="00326AE4">
              <w:rPr>
                <w:rFonts w:cstheme="minorHAnsi"/>
                <w:sz w:val="18"/>
                <w:szCs w:val="18"/>
              </w:rPr>
              <w:t>Fully_Invest_Performance</w:t>
            </w:r>
          </w:p>
        </w:tc>
        <w:tc>
          <w:tcPr>
            <w:tcW w:w="1757" w:type="dxa"/>
          </w:tcPr>
          <w:p w14:paraId="3FB9251F" w14:textId="77777777" w:rsidR="00F51C8B" w:rsidRDefault="00326AE4" w:rsidP="0088040D">
            <w:pPr>
              <w:pStyle w:val="Subtitle"/>
              <w:rPr>
                <w:rFonts w:cstheme="minorHAnsi"/>
                <w:sz w:val="18"/>
                <w:szCs w:val="18"/>
              </w:rPr>
            </w:pPr>
            <w:r>
              <w:rPr>
                <w:rFonts w:cstheme="minorHAnsi"/>
                <w:sz w:val="18"/>
                <w:szCs w:val="18"/>
              </w:rPr>
              <w:t>Check</w:t>
            </w:r>
            <w:r w:rsidR="00EB43B1">
              <w:rPr>
                <w:rFonts w:cstheme="minorHAnsi"/>
                <w:sz w:val="18"/>
                <w:szCs w:val="18"/>
              </w:rPr>
              <w:t xml:space="preserve"> (str)</w:t>
            </w:r>
            <w:r>
              <w:rPr>
                <w:rFonts w:cstheme="minorHAnsi"/>
                <w:sz w:val="18"/>
                <w:szCs w:val="18"/>
              </w:rPr>
              <w:t>,</w:t>
            </w:r>
          </w:p>
          <w:p w14:paraId="07B9905C" w14:textId="1B8B44DF" w:rsidR="00326AE4" w:rsidRPr="00326AE4" w:rsidRDefault="00326AE4" w:rsidP="00326AE4">
            <w:r w:rsidRPr="00326AE4">
              <w:rPr>
                <w:rFonts w:cstheme="minorHAnsi"/>
                <w:color w:val="5A5A5A" w:themeColor="text1" w:themeTint="A5"/>
                <w:spacing w:val="15"/>
                <w:sz w:val="18"/>
                <w:szCs w:val="18"/>
              </w:rPr>
              <w:t>Show_current (bool)</w:t>
            </w:r>
          </w:p>
        </w:tc>
        <w:tc>
          <w:tcPr>
            <w:tcW w:w="1559" w:type="dxa"/>
          </w:tcPr>
          <w:p w14:paraId="62EAFC8C" w14:textId="6FE14672" w:rsidR="00F51C8B" w:rsidRPr="00F51C8B" w:rsidRDefault="00856F62" w:rsidP="0088040D">
            <w:pPr>
              <w:pStyle w:val="Subtitle"/>
              <w:rPr>
                <w:rFonts w:cstheme="minorHAnsi"/>
                <w:sz w:val="18"/>
                <w:szCs w:val="18"/>
              </w:rPr>
            </w:pPr>
            <w:r>
              <w:rPr>
                <w:rFonts w:cstheme="minorHAnsi"/>
                <w:sz w:val="18"/>
                <w:szCs w:val="18"/>
              </w:rPr>
              <w:t>Line plot (plt)</w:t>
            </w:r>
            <w:r w:rsidR="00EB43B1">
              <w:rPr>
                <w:rFonts w:cstheme="minorHAnsi"/>
                <w:sz w:val="18"/>
                <w:szCs w:val="18"/>
              </w:rPr>
              <w:t xml:space="preserve"> </w:t>
            </w:r>
          </w:p>
        </w:tc>
        <w:tc>
          <w:tcPr>
            <w:tcW w:w="3969" w:type="dxa"/>
          </w:tcPr>
          <w:p w14:paraId="169EFE7C" w14:textId="77777777" w:rsidR="00F51C8B" w:rsidRDefault="00856F62" w:rsidP="0088040D">
            <w:pPr>
              <w:pStyle w:val="Subtitle"/>
              <w:rPr>
                <w:rFonts w:cstheme="minorHAnsi"/>
                <w:sz w:val="18"/>
                <w:szCs w:val="18"/>
              </w:rPr>
            </w:pPr>
            <w:r>
              <w:rPr>
                <w:rFonts w:cstheme="minorHAnsi"/>
                <w:sz w:val="18"/>
                <w:szCs w:val="18"/>
              </w:rPr>
              <w:t>This function calculates the portfolio value assuming we are always investing 100% capital and only adjust asset allocation through time.</w:t>
            </w:r>
          </w:p>
          <w:p w14:paraId="74E3CEB1" w14:textId="2385CDEA" w:rsidR="00856F62" w:rsidRPr="00856F62" w:rsidRDefault="00856F62" w:rsidP="00856F62">
            <w:pPr>
              <w:rPr>
                <w:rFonts w:cstheme="minorHAnsi"/>
                <w:color w:val="5A5A5A" w:themeColor="text1" w:themeTint="A5"/>
                <w:spacing w:val="15"/>
                <w:sz w:val="18"/>
                <w:szCs w:val="18"/>
              </w:rPr>
            </w:pPr>
            <w:r>
              <w:rPr>
                <w:rFonts w:cstheme="minorHAnsi"/>
                <w:color w:val="5A5A5A" w:themeColor="text1" w:themeTint="A5"/>
                <w:spacing w:val="15"/>
                <w:sz w:val="18"/>
                <w:szCs w:val="18"/>
              </w:rPr>
              <w:t>This plot indicates stock selecting.</w:t>
            </w:r>
          </w:p>
        </w:tc>
      </w:tr>
      <w:tr w:rsidR="00326AE4" w:rsidRPr="00856F62" w14:paraId="594233D6" w14:textId="77777777" w:rsidTr="00745B6B">
        <w:tc>
          <w:tcPr>
            <w:tcW w:w="1924" w:type="dxa"/>
          </w:tcPr>
          <w:p w14:paraId="7F2A28FB" w14:textId="6A7E2DE5" w:rsidR="00F51C8B" w:rsidRPr="00856F62" w:rsidRDefault="00856F62" w:rsidP="00856F62">
            <w:pPr>
              <w:rPr>
                <w:rFonts w:cstheme="minorHAnsi"/>
                <w:color w:val="5A5A5A" w:themeColor="text1" w:themeTint="A5"/>
                <w:spacing w:val="15"/>
                <w:sz w:val="18"/>
                <w:szCs w:val="18"/>
              </w:rPr>
            </w:pPr>
            <w:r w:rsidRPr="00856F62">
              <w:rPr>
                <w:rFonts w:cstheme="minorHAnsi"/>
                <w:color w:val="5A5A5A" w:themeColor="text1" w:themeTint="A5"/>
                <w:spacing w:val="15"/>
                <w:sz w:val="18"/>
                <w:szCs w:val="18"/>
              </w:rPr>
              <w:t>_Calculate_Factor_Loadings</w:t>
            </w:r>
          </w:p>
        </w:tc>
        <w:tc>
          <w:tcPr>
            <w:tcW w:w="1757" w:type="dxa"/>
          </w:tcPr>
          <w:p w14:paraId="16AA1830" w14:textId="77777777" w:rsidR="00EB43B1" w:rsidRPr="00856F62" w:rsidRDefault="00856F62" w:rsidP="00856F62">
            <w:pPr>
              <w:rPr>
                <w:rFonts w:cstheme="minorHAnsi"/>
                <w:color w:val="5A5A5A" w:themeColor="text1" w:themeTint="A5"/>
                <w:spacing w:val="15"/>
                <w:sz w:val="18"/>
                <w:szCs w:val="18"/>
              </w:rPr>
            </w:pPr>
            <w:r w:rsidRPr="00856F62">
              <w:rPr>
                <w:rFonts w:cstheme="minorHAnsi"/>
                <w:color w:val="5A5A5A" w:themeColor="text1" w:themeTint="A5"/>
                <w:spacing w:val="15"/>
                <w:sz w:val="18"/>
                <w:szCs w:val="18"/>
              </w:rPr>
              <w:t>Use_bars (int)</w:t>
            </w:r>
          </w:p>
          <w:p w14:paraId="0F7330B4" w14:textId="54044B87" w:rsidR="00856F62" w:rsidRPr="00856F62" w:rsidRDefault="00856F62" w:rsidP="00856F62">
            <w:pPr>
              <w:rPr>
                <w:rFonts w:cstheme="minorHAnsi"/>
                <w:color w:val="5A5A5A" w:themeColor="text1" w:themeTint="A5"/>
                <w:spacing w:val="15"/>
                <w:sz w:val="18"/>
                <w:szCs w:val="18"/>
              </w:rPr>
            </w:pPr>
            <w:r>
              <w:rPr>
                <w:rFonts w:cstheme="minorHAnsi"/>
                <w:color w:val="5A5A5A" w:themeColor="text1" w:themeTint="A5"/>
                <w:spacing w:val="15"/>
                <w:sz w:val="18"/>
                <w:szCs w:val="18"/>
              </w:rPr>
              <w:t>Rolling (int)</w:t>
            </w:r>
          </w:p>
        </w:tc>
        <w:tc>
          <w:tcPr>
            <w:tcW w:w="1559" w:type="dxa"/>
          </w:tcPr>
          <w:p w14:paraId="297DA1C8" w14:textId="63D2A45D" w:rsidR="00F51C8B" w:rsidRPr="00856F62" w:rsidRDefault="00856F62" w:rsidP="00856F62">
            <w:pPr>
              <w:rPr>
                <w:rFonts w:cstheme="minorHAnsi"/>
                <w:color w:val="5A5A5A" w:themeColor="text1" w:themeTint="A5"/>
                <w:spacing w:val="15"/>
                <w:sz w:val="18"/>
                <w:szCs w:val="18"/>
              </w:rPr>
            </w:pPr>
            <w:r>
              <w:rPr>
                <w:rFonts w:cstheme="minorHAnsi"/>
                <w:color w:val="5A5A5A" w:themeColor="text1" w:themeTint="A5"/>
                <w:spacing w:val="15"/>
                <w:sz w:val="18"/>
                <w:szCs w:val="18"/>
              </w:rPr>
              <w:t>None</w:t>
            </w:r>
          </w:p>
        </w:tc>
        <w:tc>
          <w:tcPr>
            <w:tcW w:w="3969" w:type="dxa"/>
          </w:tcPr>
          <w:p w14:paraId="3E8BD4CA" w14:textId="77777777" w:rsidR="00F51C8B" w:rsidRDefault="00856F62" w:rsidP="00856F62">
            <w:pPr>
              <w:rPr>
                <w:rFonts w:cstheme="minorHAnsi"/>
                <w:color w:val="5A5A5A" w:themeColor="text1" w:themeTint="A5"/>
                <w:spacing w:val="15"/>
                <w:sz w:val="18"/>
                <w:szCs w:val="18"/>
              </w:rPr>
            </w:pPr>
            <w:r>
              <w:rPr>
                <w:rFonts w:cstheme="minorHAnsi"/>
                <w:color w:val="5A5A5A" w:themeColor="text1" w:themeTint="A5"/>
                <w:spacing w:val="15"/>
                <w:sz w:val="18"/>
                <w:szCs w:val="18"/>
              </w:rPr>
              <w:t xml:space="preserve">This function calculates factor loading of our portfolio with respect to the factors named in Advisor construction. </w:t>
            </w:r>
          </w:p>
          <w:p w14:paraId="06D48117" w14:textId="77777777" w:rsidR="00856F62" w:rsidRDefault="00856F62" w:rsidP="00856F62">
            <w:pPr>
              <w:rPr>
                <w:rFonts w:cstheme="minorHAnsi"/>
                <w:color w:val="5A5A5A" w:themeColor="text1" w:themeTint="A5"/>
                <w:spacing w:val="15"/>
                <w:sz w:val="18"/>
                <w:szCs w:val="18"/>
              </w:rPr>
            </w:pPr>
            <w:r>
              <w:rPr>
                <w:rFonts w:cstheme="minorHAnsi"/>
                <w:color w:val="5A5A5A" w:themeColor="text1" w:themeTint="A5"/>
                <w:spacing w:val="15"/>
                <w:sz w:val="18"/>
                <w:szCs w:val="18"/>
              </w:rPr>
              <w:t>It uses a rolling window regression approach with window size</w:t>
            </w:r>
            <w:r w:rsidR="005C0ADB">
              <w:rPr>
                <w:rFonts w:cstheme="minorHAnsi"/>
                <w:color w:val="5A5A5A" w:themeColor="text1" w:themeTint="A5"/>
                <w:spacing w:val="15"/>
                <w:sz w:val="18"/>
                <w:szCs w:val="18"/>
              </w:rPr>
              <w:t xml:space="preserve">= </w:t>
            </w:r>
            <w:r>
              <w:rPr>
                <w:rFonts w:cstheme="minorHAnsi"/>
                <w:color w:val="5A5A5A" w:themeColor="text1" w:themeTint="A5"/>
                <w:spacing w:val="15"/>
                <w:sz w:val="18"/>
                <w:szCs w:val="18"/>
              </w:rPr>
              <w:t xml:space="preserve">use_bar and rolling </w:t>
            </w:r>
            <w:r w:rsidR="005C0ADB">
              <w:rPr>
                <w:rFonts w:cstheme="minorHAnsi"/>
                <w:color w:val="5A5A5A" w:themeColor="text1" w:themeTint="A5"/>
                <w:spacing w:val="15"/>
                <w:sz w:val="18"/>
                <w:szCs w:val="18"/>
              </w:rPr>
              <w:t>frequency= rolling</w:t>
            </w:r>
          </w:p>
          <w:p w14:paraId="51202542" w14:textId="226510C0" w:rsidR="005C0ADB" w:rsidRPr="00856F62" w:rsidRDefault="005C0ADB" w:rsidP="00856F62">
            <w:pPr>
              <w:rPr>
                <w:rFonts w:cstheme="minorHAnsi"/>
                <w:color w:val="5A5A5A" w:themeColor="text1" w:themeTint="A5"/>
                <w:spacing w:val="15"/>
                <w:sz w:val="18"/>
                <w:szCs w:val="18"/>
              </w:rPr>
            </w:pPr>
            <w:r>
              <w:rPr>
                <w:rFonts w:cstheme="minorHAnsi"/>
                <w:color w:val="5A5A5A" w:themeColor="text1" w:themeTint="A5"/>
                <w:spacing w:val="15"/>
                <w:sz w:val="18"/>
                <w:szCs w:val="18"/>
              </w:rPr>
              <w:t xml:space="preserve">Then it stores the calculated factor loadings (betas) internal the Advisor class. This is an internal function to </w:t>
            </w:r>
            <w:r>
              <w:rPr>
                <w:rFonts w:cstheme="minorHAnsi"/>
                <w:color w:val="5A5A5A" w:themeColor="text1" w:themeTint="A5"/>
                <w:spacing w:val="15"/>
                <w:sz w:val="18"/>
                <w:szCs w:val="18"/>
              </w:rPr>
              <w:lastRenderedPageBreak/>
              <w:t>assist other functions in advisor app.</w:t>
            </w:r>
          </w:p>
        </w:tc>
      </w:tr>
      <w:tr w:rsidR="00326AE4" w:rsidRPr="00856F62" w14:paraId="58FBF555" w14:textId="77777777" w:rsidTr="00745B6B">
        <w:tc>
          <w:tcPr>
            <w:tcW w:w="1924" w:type="dxa"/>
          </w:tcPr>
          <w:p w14:paraId="32E4E338" w14:textId="70F6BD11" w:rsidR="00EB43B1" w:rsidRPr="00856F62" w:rsidRDefault="005C0ADB" w:rsidP="00856F62">
            <w:pPr>
              <w:rPr>
                <w:rFonts w:cstheme="minorHAnsi"/>
                <w:color w:val="5A5A5A" w:themeColor="text1" w:themeTint="A5"/>
                <w:spacing w:val="15"/>
                <w:sz w:val="18"/>
                <w:szCs w:val="18"/>
              </w:rPr>
            </w:pPr>
            <w:r w:rsidRPr="005C0ADB">
              <w:rPr>
                <w:rFonts w:cstheme="minorHAnsi"/>
                <w:color w:val="5A5A5A" w:themeColor="text1" w:themeTint="A5"/>
                <w:spacing w:val="15"/>
                <w:sz w:val="18"/>
                <w:szCs w:val="18"/>
              </w:rPr>
              <w:lastRenderedPageBreak/>
              <w:t>Return_Attribution</w:t>
            </w:r>
          </w:p>
        </w:tc>
        <w:tc>
          <w:tcPr>
            <w:tcW w:w="1757" w:type="dxa"/>
          </w:tcPr>
          <w:p w14:paraId="11ED9A83" w14:textId="4E6D723B" w:rsidR="00EB43B1" w:rsidRPr="00856F62" w:rsidRDefault="00CE6A0C" w:rsidP="00856F62">
            <w:pPr>
              <w:rPr>
                <w:rFonts w:cstheme="minorHAnsi"/>
                <w:color w:val="5A5A5A" w:themeColor="text1" w:themeTint="A5"/>
                <w:spacing w:val="15"/>
                <w:sz w:val="18"/>
                <w:szCs w:val="18"/>
              </w:rPr>
            </w:pPr>
            <w:r w:rsidRPr="00856F62">
              <w:rPr>
                <w:rFonts w:cstheme="minorHAnsi"/>
                <w:color w:val="5A5A5A" w:themeColor="text1" w:themeTint="A5"/>
                <w:spacing w:val="15"/>
                <w:sz w:val="18"/>
                <w:szCs w:val="18"/>
              </w:rPr>
              <w:t>None</w:t>
            </w:r>
          </w:p>
        </w:tc>
        <w:tc>
          <w:tcPr>
            <w:tcW w:w="1559" w:type="dxa"/>
          </w:tcPr>
          <w:p w14:paraId="4C09A6C9" w14:textId="77777777" w:rsidR="00EB43B1" w:rsidRDefault="0051293E" w:rsidP="00856F62">
            <w:pPr>
              <w:rPr>
                <w:rFonts w:cstheme="minorHAnsi"/>
                <w:color w:val="5A5A5A" w:themeColor="text1" w:themeTint="A5"/>
                <w:spacing w:val="15"/>
                <w:sz w:val="18"/>
                <w:szCs w:val="18"/>
              </w:rPr>
            </w:pPr>
            <w:r>
              <w:rPr>
                <w:rFonts w:cstheme="minorHAnsi"/>
                <w:color w:val="5A5A5A" w:themeColor="text1" w:themeTint="A5"/>
                <w:spacing w:val="15"/>
                <w:sz w:val="18"/>
                <w:szCs w:val="18"/>
              </w:rPr>
              <w:t>Line plot (plt)</w:t>
            </w:r>
          </w:p>
          <w:p w14:paraId="400E9E1B" w14:textId="0A50877A" w:rsidR="0051293E" w:rsidRDefault="00CF3980" w:rsidP="00856F62">
            <w:pPr>
              <w:rPr>
                <w:rFonts w:cstheme="minorHAnsi"/>
                <w:color w:val="5A5A5A" w:themeColor="text1" w:themeTint="A5"/>
                <w:spacing w:val="15"/>
                <w:sz w:val="18"/>
                <w:szCs w:val="18"/>
              </w:rPr>
            </w:pPr>
            <w:r>
              <w:rPr>
                <w:rFonts w:cstheme="minorHAnsi"/>
                <w:color w:val="5A5A5A" w:themeColor="text1" w:themeTint="A5"/>
                <w:spacing w:val="15"/>
                <w:sz w:val="18"/>
                <w:szCs w:val="18"/>
              </w:rPr>
              <w:t>And</w:t>
            </w:r>
          </w:p>
          <w:p w14:paraId="634D4BC9" w14:textId="014B776C" w:rsidR="0051293E" w:rsidRPr="00856F62" w:rsidRDefault="0051293E" w:rsidP="00856F62">
            <w:pPr>
              <w:rPr>
                <w:rFonts w:cstheme="minorHAnsi"/>
                <w:color w:val="5A5A5A" w:themeColor="text1" w:themeTint="A5"/>
                <w:spacing w:val="15"/>
                <w:sz w:val="18"/>
                <w:szCs w:val="18"/>
              </w:rPr>
            </w:pPr>
            <w:r>
              <w:rPr>
                <w:rFonts w:cstheme="minorHAnsi"/>
                <w:color w:val="5A5A5A" w:themeColor="text1" w:themeTint="A5"/>
                <w:spacing w:val="15"/>
                <w:sz w:val="18"/>
                <w:szCs w:val="18"/>
              </w:rPr>
              <w:t>Dataframe</w:t>
            </w:r>
            <w:r w:rsidR="00CF3980">
              <w:rPr>
                <w:rFonts w:cstheme="minorHAnsi"/>
                <w:color w:val="5A5A5A" w:themeColor="text1" w:themeTint="A5"/>
                <w:spacing w:val="15"/>
                <w:sz w:val="18"/>
                <w:szCs w:val="18"/>
              </w:rPr>
              <w:t xml:space="preserve"> (pd.df)</w:t>
            </w:r>
          </w:p>
        </w:tc>
        <w:tc>
          <w:tcPr>
            <w:tcW w:w="3969" w:type="dxa"/>
          </w:tcPr>
          <w:p w14:paraId="276140B4" w14:textId="7F20100E" w:rsidR="00EB43B1" w:rsidRPr="00856F62" w:rsidRDefault="00CF3980" w:rsidP="00856F62">
            <w:pPr>
              <w:rPr>
                <w:rFonts w:cstheme="minorHAnsi"/>
                <w:color w:val="5A5A5A" w:themeColor="text1" w:themeTint="A5"/>
                <w:spacing w:val="15"/>
                <w:sz w:val="18"/>
                <w:szCs w:val="18"/>
              </w:rPr>
            </w:pPr>
            <w:r>
              <w:rPr>
                <w:rFonts w:cstheme="minorHAnsi"/>
                <w:color w:val="5A5A5A" w:themeColor="text1" w:themeTint="A5"/>
                <w:spacing w:val="15"/>
                <w:sz w:val="18"/>
                <w:szCs w:val="18"/>
              </w:rPr>
              <w:t>This function attributes historical returns to different factors loadings and calculate the alphas generated by investors. It returns a dataframe aggregating this information over time and plots how these returns evolved over time.</w:t>
            </w:r>
          </w:p>
        </w:tc>
      </w:tr>
      <w:tr w:rsidR="00DB70C7" w:rsidRPr="00856F62" w14:paraId="0F32BEE2" w14:textId="77777777" w:rsidTr="00745B6B">
        <w:tc>
          <w:tcPr>
            <w:tcW w:w="1924" w:type="dxa"/>
          </w:tcPr>
          <w:p w14:paraId="566337B0" w14:textId="204E632A" w:rsidR="00DB70C7" w:rsidRPr="005C0ADB" w:rsidRDefault="00DB70C7" w:rsidP="00856F62">
            <w:pPr>
              <w:rPr>
                <w:rFonts w:cstheme="minorHAnsi"/>
                <w:color w:val="5A5A5A" w:themeColor="text1" w:themeTint="A5"/>
                <w:spacing w:val="15"/>
                <w:sz w:val="18"/>
                <w:szCs w:val="18"/>
              </w:rPr>
            </w:pPr>
            <w:r w:rsidRPr="00DB70C7">
              <w:rPr>
                <w:rFonts w:cstheme="minorHAnsi"/>
                <w:color w:val="5A5A5A" w:themeColor="text1" w:themeTint="A5"/>
                <w:spacing w:val="15"/>
                <w:sz w:val="18"/>
                <w:szCs w:val="18"/>
              </w:rPr>
              <w:t>Show_Loading</w:t>
            </w:r>
          </w:p>
        </w:tc>
        <w:tc>
          <w:tcPr>
            <w:tcW w:w="1757" w:type="dxa"/>
          </w:tcPr>
          <w:p w14:paraId="375C4DA7" w14:textId="1880243F" w:rsidR="00DB70C7" w:rsidRPr="00856F62" w:rsidRDefault="00DB70C7" w:rsidP="00856F62">
            <w:pPr>
              <w:rPr>
                <w:rFonts w:cstheme="minorHAnsi"/>
                <w:color w:val="5A5A5A" w:themeColor="text1" w:themeTint="A5"/>
                <w:spacing w:val="15"/>
                <w:sz w:val="18"/>
                <w:szCs w:val="18"/>
              </w:rPr>
            </w:pPr>
            <w:r>
              <w:rPr>
                <w:rFonts w:cstheme="minorHAnsi"/>
                <w:color w:val="5A5A5A" w:themeColor="text1" w:themeTint="A5"/>
                <w:spacing w:val="15"/>
                <w:sz w:val="18"/>
                <w:szCs w:val="18"/>
              </w:rPr>
              <w:t xml:space="preserve">None </w:t>
            </w:r>
          </w:p>
        </w:tc>
        <w:tc>
          <w:tcPr>
            <w:tcW w:w="1559" w:type="dxa"/>
          </w:tcPr>
          <w:p w14:paraId="1D164644" w14:textId="77777777" w:rsidR="00DB70C7" w:rsidRDefault="00DB70C7" w:rsidP="00856F62">
            <w:pPr>
              <w:rPr>
                <w:rFonts w:cstheme="minorHAnsi"/>
                <w:color w:val="5A5A5A" w:themeColor="text1" w:themeTint="A5"/>
                <w:spacing w:val="15"/>
                <w:sz w:val="18"/>
                <w:szCs w:val="18"/>
              </w:rPr>
            </w:pPr>
            <w:r>
              <w:rPr>
                <w:rFonts w:cstheme="minorHAnsi"/>
                <w:color w:val="5A5A5A" w:themeColor="text1" w:themeTint="A5"/>
                <w:spacing w:val="15"/>
                <w:sz w:val="18"/>
                <w:szCs w:val="18"/>
              </w:rPr>
              <w:t>Line plot (plt)</w:t>
            </w:r>
          </w:p>
          <w:p w14:paraId="03AE34F0" w14:textId="77777777" w:rsidR="00DB70C7" w:rsidRDefault="00DB70C7" w:rsidP="00856F62">
            <w:pPr>
              <w:rPr>
                <w:rFonts w:cstheme="minorHAnsi"/>
                <w:color w:val="5A5A5A" w:themeColor="text1" w:themeTint="A5"/>
                <w:spacing w:val="15"/>
                <w:sz w:val="18"/>
                <w:szCs w:val="18"/>
              </w:rPr>
            </w:pPr>
            <w:r>
              <w:rPr>
                <w:rFonts w:cstheme="minorHAnsi"/>
                <w:color w:val="5A5A5A" w:themeColor="text1" w:themeTint="A5"/>
                <w:spacing w:val="15"/>
                <w:sz w:val="18"/>
                <w:szCs w:val="18"/>
              </w:rPr>
              <w:t>Or</w:t>
            </w:r>
          </w:p>
          <w:p w14:paraId="6B1BDD07" w14:textId="368EA8BC" w:rsidR="00DB70C7" w:rsidRDefault="00DB70C7" w:rsidP="00856F62">
            <w:pPr>
              <w:rPr>
                <w:rFonts w:cstheme="minorHAnsi"/>
                <w:color w:val="5A5A5A" w:themeColor="text1" w:themeTint="A5"/>
                <w:spacing w:val="15"/>
                <w:sz w:val="18"/>
                <w:szCs w:val="18"/>
              </w:rPr>
            </w:pPr>
            <w:r>
              <w:rPr>
                <w:rFonts w:cstheme="minorHAnsi"/>
                <w:color w:val="5A5A5A" w:themeColor="text1" w:themeTint="A5"/>
                <w:spacing w:val="15"/>
                <w:sz w:val="18"/>
                <w:szCs w:val="18"/>
              </w:rPr>
              <w:t>Dataframe</w:t>
            </w:r>
          </w:p>
        </w:tc>
        <w:tc>
          <w:tcPr>
            <w:tcW w:w="3969" w:type="dxa"/>
          </w:tcPr>
          <w:p w14:paraId="26FB3BD2" w14:textId="618851B5" w:rsidR="00DB70C7" w:rsidRDefault="00DB70C7" w:rsidP="00856F62">
            <w:pPr>
              <w:rPr>
                <w:rFonts w:cstheme="minorHAnsi"/>
                <w:color w:val="5A5A5A" w:themeColor="text1" w:themeTint="A5"/>
                <w:spacing w:val="15"/>
                <w:sz w:val="18"/>
                <w:szCs w:val="18"/>
              </w:rPr>
            </w:pPr>
            <w:r>
              <w:rPr>
                <w:rFonts w:cstheme="minorHAnsi"/>
                <w:color w:val="5A5A5A" w:themeColor="text1" w:themeTint="A5"/>
                <w:spacing w:val="15"/>
                <w:sz w:val="18"/>
                <w:szCs w:val="18"/>
              </w:rPr>
              <w:t>This function either returns factor loadings in a dataframe or plots it in a line plot.</w:t>
            </w:r>
            <w:bookmarkStart w:id="0" w:name="_GoBack"/>
            <w:bookmarkEnd w:id="0"/>
          </w:p>
        </w:tc>
      </w:tr>
    </w:tbl>
    <w:p w14:paraId="100D6B5A" w14:textId="2F430C41" w:rsidR="0088040D" w:rsidRPr="00856F62" w:rsidRDefault="0088040D" w:rsidP="00856F62">
      <w:pPr>
        <w:spacing w:after="0" w:line="240" w:lineRule="auto"/>
        <w:rPr>
          <w:rFonts w:cstheme="minorHAnsi"/>
          <w:color w:val="5A5A5A" w:themeColor="text1" w:themeTint="A5"/>
          <w:spacing w:val="15"/>
          <w:sz w:val="18"/>
          <w:szCs w:val="18"/>
        </w:rPr>
      </w:pPr>
    </w:p>
    <w:sectPr w:rsidR="0088040D" w:rsidRPr="00856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762D4"/>
    <w:multiLevelType w:val="hybridMultilevel"/>
    <w:tmpl w:val="F296108E"/>
    <w:lvl w:ilvl="0" w:tplc="ECF0785C">
      <w:numFmt w:val="bullet"/>
      <w:lvlText w:val="-"/>
      <w:lvlJc w:val="left"/>
      <w:pPr>
        <w:ind w:left="408" w:hanging="360"/>
      </w:pPr>
      <w:rPr>
        <w:rFonts w:ascii="Calibri" w:eastAsiaTheme="minorEastAsia" w:hAnsi="Calibri" w:cs="Calibri"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BF0"/>
    <w:rsid w:val="000111F9"/>
    <w:rsid w:val="000824A1"/>
    <w:rsid w:val="000D5BF0"/>
    <w:rsid w:val="00101D86"/>
    <w:rsid w:val="00326AE4"/>
    <w:rsid w:val="003A4B3C"/>
    <w:rsid w:val="0051293E"/>
    <w:rsid w:val="005C0ADB"/>
    <w:rsid w:val="00745B6B"/>
    <w:rsid w:val="00856F62"/>
    <w:rsid w:val="0088040D"/>
    <w:rsid w:val="00967AF1"/>
    <w:rsid w:val="00975509"/>
    <w:rsid w:val="00A16E8E"/>
    <w:rsid w:val="00AC0CB4"/>
    <w:rsid w:val="00CE6A0C"/>
    <w:rsid w:val="00CF3980"/>
    <w:rsid w:val="00DB70C7"/>
    <w:rsid w:val="00EB43B1"/>
    <w:rsid w:val="00F43FBE"/>
    <w:rsid w:val="00F51C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31B37"/>
  <w15:chartTrackingRefBased/>
  <w15:docId w15:val="{C31F078C-5D0E-41F6-A9A2-A02226F31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B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5B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BF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5BF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8040D"/>
    <w:pPr>
      <w:ind w:left="720"/>
      <w:contextualSpacing/>
    </w:pPr>
  </w:style>
  <w:style w:type="paragraph" w:styleId="Subtitle">
    <w:name w:val="Subtitle"/>
    <w:basedOn w:val="Normal"/>
    <w:next w:val="Normal"/>
    <w:link w:val="SubtitleChar"/>
    <w:uiPriority w:val="11"/>
    <w:qFormat/>
    <w:rsid w:val="0088040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8040D"/>
    <w:rPr>
      <w:color w:val="5A5A5A" w:themeColor="text1" w:themeTint="A5"/>
      <w:spacing w:val="15"/>
    </w:rPr>
  </w:style>
  <w:style w:type="table" w:styleId="TableGrid">
    <w:name w:val="Table Grid"/>
    <w:basedOn w:val="TableNormal"/>
    <w:uiPriority w:val="39"/>
    <w:rsid w:val="00880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Yuting</dc:creator>
  <cp:keywords/>
  <dc:description/>
  <cp:lastModifiedBy>Li, Yuting</cp:lastModifiedBy>
  <cp:revision>18</cp:revision>
  <dcterms:created xsi:type="dcterms:W3CDTF">2019-08-27T23:19:00Z</dcterms:created>
  <dcterms:modified xsi:type="dcterms:W3CDTF">2019-08-28T17:33:00Z</dcterms:modified>
</cp:coreProperties>
</file>