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44"/>
        </w:rPr>
        <w:t>《新工科数学分析》讲义简介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sz w:val="22"/>
        </w:rPr>
        <w:t>首都师范大学  ·  面向人工智能时代的数学分析教材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1F3A68"/>
          <w:sz w:val="28"/>
        </w:rPr>
        <w:t>一、教材定位</w:t>
      </w:r>
    </w:p>
    <w:p>
      <w:pPr>
        <w:spacing w:line="36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《新工科数学分析》是为首都师范大学新工科类专业量身打造的数学分析讲义,在保持分析学严谨体系的同时,系统地把极限、微分、积分与向量分析的经典工具,重新组织为支撑人工智能、数据科学与工程建模的数学基础,力图为新工科学生提供一条“经典分析—计算实现—智能应用”贯通的学习路径。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1F3A68"/>
          <w:sz w:val="28"/>
        </w:rPr>
        <w:t>二、内容以人工智能与工程建模为落脚点</w:t>
      </w:r>
    </w:p>
    <w:p>
      <w:pPr>
        <w:spacing w:line="36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讲义全书十五章覆盖一元、多元、向量分析与积分理论,每章均设置与人工智能、动力系统、信号处理等前沿场景密切相关的典型案例。例如:在微分方程一章,以洛特卡-沃尔泰拉方程、弹簧振子、行星运动阐释非线性建模;在多元微分与向量场部分,引入梯度下降与神经网络训练的几何解释;在积分变换章节,借助 FFT 讲解信号与数据的频域结构。这样的安排,使学生不仅能掌握定理与公式,更能在真实的智能计算任务中识别并使用数学工具,符合新工科人才培养对“懂原理、会建模、能落地”的总体要求。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79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888888"/>
                <w:sz w:val="22"/>
              </w:rPr>
              <w:t>[此处插入图 1  网页版章节渲染效果(公式、插图、讲解一体化排版)]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1  网页版章节渲染效果(公式、插图、讲解一体化排版)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1F3A68"/>
          <w:sz w:val="28"/>
        </w:rPr>
        <w:t>三、网页、移动端与三维交互一体的多平台阅读体验</w:t>
      </w:r>
    </w:p>
    <w:p>
      <w:pPr>
        <w:spacing w:line="36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讲义突破传统纸质教材的单向呈现,提供网页版、Android 移动端 App 与可交互图形三位一体的阅读形态。网页版基于 VLOOK 主题呈现,数学排版清晰、检索便捷;章节中嵌入十余个 Three.js 三维场景,读者可直接旋转、缩放梯度场、双重积分区域、雅可比变换、斯托克斯曲面等关键几何对象;Plotly 动态图则支持参数调节与数据交互。与此同时,配套的 Android App 让学生在手机上即可阅读全部内容、播放三维演示、查看例题与习题,真正做到“随身课堂”,显著提升自主学习与课后复盘的效率。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79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888888"/>
                <w:sz w:val="22"/>
              </w:rPr>
              <w:t>[此处插入图 2  Three.js 三维交互插图示例(如双重积分或梯度场)]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2  Three.js 三维交互插图示例(如双重积分或梯度场)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79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888888"/>
                <w:sz w:val="22"/>
              </w:rPr>
              <w:t>[此处插入图 3  Android 移动端 App 阅读界面]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3  Android 移动端 App 阅读界面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1F3A68"/>
          <w:sz w:val="28"/>
        </w:rPr>
        <w:t>四、可运行的教学代码,公式—代码—可视化三位一体</w:t>
      </w:r>
    </w:p>
    <w:p>
      <w:pPr>
        <w:spacing w:line="36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讲义配套 40 余个 Python 教学脚本,覆盖极限可视化、导数近似、凸函数判别、自由落体与弹簧振动、行星轨道、神经网络前向传播、傅里叶变换等。每个脚本均可独立运行并生成对应插图,学生在课堂或课下可一边对照公式,一边修改参数观察结果,从而在动手实验中加深对抽象概念的理解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793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888888"/>
                <w:sz w:val="22"/>
              </w:rPr>
              <w:t>[此处插入图 4  Python 建模脚本可视化输出(如行星运动)]</w:t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</w:tbl>
    <w:p>
      <w:pPr>
        <w:spacing w:after="160"/>
        <w:jc w:val="center"/>
      </w:pPr>
      <w:r>
        <w:rPr>
          <w:rFonts w:ascii="Times New Roman" w:hAnsi="Times New Roman" w:eastAsia="宋体"/>
          <w:b w:val="0"/>
          <w:sz w:val="21"/>
        </w:rPr>
        <w:t>图 4  Python 建模脚本可视化输出(如行星运动)</w:t>
      </w:r>
    </w:p>
    <w:p>
      <w:pPr>
        <w:spacing w:before="200" w:after="80"/>
      </w:pPr>
      <w:r>
        <w:rPr>
          <w:rFonts w:ascii="Times New Roman" w:hAnsi="Times New Roman" w:eastAsia="宋体"/>
          <w:b/>
          <w:color w:val="1F3A68"/>
          <w:sz w:val="28"/>
        </w:rPr>
        <w:t>五、完整习题体系与工程化构建管线</w:t>
      </w:r>
    </w:p>
    <w:p>
      <w:pPr>
        <w:spacing w:line="360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讲义已编制 217 道配套习题,按章节组织、难度分层,并由独立的构建管线统一生成网页、App 与打印版本,实现“一次编写、多端发布”。工程化的写作与发布流程保证了教材的长期可维护性,也为后续内容迭代、分册出版与配套资源扩展奠定了稳固的技术基础。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