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8A355" w14:textId="77777777" w:rsidR="001F4322" w:rsidRDefault="00995646" w:rsidP="001F4322">
      <w:pPr>
        <w:jc w:val="center"/>
        <w:rPr>
          <w:b/>
        </w:rPr>
      </w:pPr>
      <w:r>
        <w:rPr>
          <w:rFonts w:ascii="Avenir LT Std 35 Light" w:hAnsi="Avenir LT Std 35 Light"/>
          <w:b/>
          <w:noProof/>
          <w:color w:val="7F7F7F" w:themeColor="text1" w:themeTint="80"/>
          <w:sz w:val="24"/>
          <w:szCs w:val="32"/>
          <w:lang w:eastAsia="fr-FR"/>
        </w:rPr>
        <w:drawing>
          <wp:anchor distT="0" distB="0" distL="114300" distR="114300" simplePos="0" relativeHeight="251659264" behindDoc="0" locked="0" layoutInCell="1" allowOverlap="1" wp14:anchorId="2D3F4B0B" wp14:editId="702EBA09">
            <wp:simplePos x="0" y="0"/>
            <wp:positionH relativeFrom="column">
              <wp:posOffset>5433695</wp:posOffset>
            </wp:positionH>
            <wp:positionV relativeFrom="paragraph">
              <wp:posOffset>-500380</wp:posOffset>
            </wp:positionV>
            <wp:extent cx="981075" cy="855589"/>
            <wp:effectExtent l="0" t="0" r="0" b="190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9NH_nc_standa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1075" cy="855589"/>
                    </a:xfrm>
                    <a:prstGeom prst="rect">
                      <a:avLst/>
                    </a:prstGeom>
                  </pic:spPr>
                </pic:pic>
              </a:graphicData>
            </a:graphic>
            <wp14:sizeRelH relativeFrom="page">
              <wp14:pctWidth>0</wp14:pctWidth>
            </wp14:sizeRelH>
            <wp14:sizeRelV relativeFrom="page">
              <wp14:pctHeight>0</wp14:pctHeight>
            </wp14:sizeRelV>
          </wp:anchor>
        </w:drawing>
      </w:r>
    </w:p>
    <w:p w14:paraId="26BEAA5B" w14:textId="77777777" w:rsidR="001F4322" w:rsidRDefault="001F4322" w:rsidP="001F4322">
      <w:pPr>
        <w:jc w:val="center"/>
        <w:rPr>
          <w:b/>
        </w:rPr>
      </w:pPr>
    </w:p>
    <w:p w14:paraId="7B9A1A8E" w14:textId="77777777" w:rsidR="003955EF" w:rsidRDefault="001F4322" w:rsidP="001F4322">
      <w:pPr>
        <w:jc w:val="center"/>
        <w:rPr>
          <w:b/>
          <w:color w:val="31849B" w:themeColor="accent5" w:themeShade="BF"/>
          <w:sz w:val="48"/>
          <w:szCs w:val="48"/>
        </w:rPr>
      </w:pPr>
      <w:r w:rsidRPr="001F4322">
        <w:rPr>
          <w:b/>
          <w:color w:val="31849B" w:themeColor="accent5" w:themeShade="BF"/>
          <w:sz w:val="48"/>
          <w:szCs w:val="48"/>
        </w:rPr>
        <w:t xml:space="preserve">ACTUALITE JURIDIQUE </w:t>
      </w:r>
      <w:r w:rsidR="003955EF">
        <w:rPr>
          <w:b/>
          <w:color w:val="31849B" w:themeColor="accent5" w:themeShade="BF"/>
          <w:sz w:val="48"/>
          <w:szCs w:val="48"/>
        </w:rPr>
        <w:t>DE SNCF VOYAGEURS</w:t>
      </w:r>
    </w:p>
    <w:p w14:paraId="61F9ADF3" w14:textId="77777777" w:rsidR="005633D7" w:rsidRPr="003955EF" w:rsidRDefault="005633D7" w:rsidP="001F4322">
      <w:pPr>
        <w:jc w:val="center"/>
        <w:rPr>
          <w:b/>
          <w:color w:val="31849B" w:themeColor="accent5" w:themeShade="BF"/>
          <w:sz w:val="40"/>
          <w:szCs w:val="48"/>
        </w:rPr>
      </w:pPr>
    </w:p>
    <w:p w14:paraId="42932090" w14:textId="77777777" w:rsidR="001F4322" w:rsidRDefault="001F4322" w:rsidP="001F4322">
      <w:pPr>
        <w:jc w:val="center"/>
        <w:rPr>
          <w:b/>
          <w:color w:val="31849B" w:themeColor="accent5" w:themeShade="BF"/>
          <w:sz w:val="48"/>
          <w:szCs w:val="48"/>
        </w:rPr>
      </w:pPr>
    </w:p>
    <w:p w14:paraId="215513A0" w14:textId="77777777" w:rsidR="003955EF" w:rsidRDefault="003955EF" w:rsidP="001F4322">
      <w:pPr>
        <w:jc w:val="center"/>
        <w:rPr>
          <w:b/>
          <w:color w:val="31849B" w:themeColor="accent5" w:themeShade="BF"/>
          <w:sz w:val="48"/>
          <w:szCs w:val="48"/>
        </w:rPr>
      </w:pPr>
    </w:p>
    <w:p w14:paraId="57DE9666" w14:textId="77777777" w:rsidR="003955EF" w:rsidRDefault="003955EF" w:rsidP="001F4322">
      <w:pPr>
        <w:jc w:val="center"/>
        <w:rPr>
          <w:b/>
          <w:color w:val="31849B" w:themeColor="accent5" w:themeShade="BF"/>
          <w:sz w:val="48"/>
          <w:szCs w:val="48"/>
        </w:rPr>
      </w:pPr>
    </w:p>
    <w:p w14:paraId="113CA684"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2"/>
        </w:rPr>
      </w:pPr>
      <w:r>
        <w:rPr>
          <w:b/>
          <w:color w:val="31849B" w:themeColor="accent5" w:themeShade="BF"/>
          <w:sz w:val="36"/>
          <w:szCs w:val="32"/>
        </w:rPr>
        <w:t xml:space="preserve">1. </w:t>
      </w:r>
      <w:r w:rsidR="001F4322" w:rsidRPr="005E3B19">
        <w:rPr>
          <w:b/>
          <w:color w:val="31849B" w:themeColor="accent5" w:themeShade="BF"/>
          <w:sz w:val="36"/>
          <w:szCs w:val="32"/>
        </w:rPr>
        <w:t>CADA</w:t>
      </w:r>
    </w:p>
    <w:p w14:paraId="5ECCD92A" w14:textId="77777777" w:rsidR="001F4322" w:rsidRDefault="001F4322" w:rsidP="001F4322">
      <w:pPr>
        <w:rPr>
          <w:b/>
          <w:color w:val="31849B" w:themeColor="accent5" w:themeShade="BF"/>
          <w:sz w:val="32"/>
          <w:szCs w:val="32"/>
        </w:rPr>
      </w:pPr>
    </w:p>
    <w:p w14:paraId="73B3F779" w14:textId="77777777" w:rsidR="005E3B19" w:rsidRPr="005E3B19" w:rsidRDefault="005E3B19" w:rsidP="001F4322">
      <w:pPr>
        <w:rPr>
          <w:b/>
          <w:color w:val="7F7F7F" w:themeColor="text1" w:themeTint="80"/>
          <w:sz w:val="32"/>
          <w:szCs w:val="32"/>
        </w:rPr>
      </w:pPr>
      <w:r w:rsidRPr="005E3B19">
        <w:rPr>
          <w:b/>
          <w:color w:val="7F7F7F" w:themeColor="text1" w:themeTint="80"/>
          <w:sz w:val="32"/>
          <w:szCs w:val="32"/>
        </w:rPr>
        <w:t>Consultations</w:t>
      </w:r>
    </w:p>
    <w:p w14:paraId="5A29C747" w14:textId="77777777" w:rsidR="005E3B19" w:rsidRPr="005E3B19" w:rsidRDefault="005E3B19" w:rsidP="001F4322">
      <w:pPr>
        <w:rPr>
          <w:b/>
          <w:color w:val="7F7F7F" w:themeColor="text1" w:themeTint="80"/>
          <w:sz w:val="32"/>
          <w:szCs w:val="32"/>
        </w:rPr>
      </w:pPr>
      <w:r w:rsidRPr="005E3B19">
        <w:rPr>
          <w:b/>
          <w:color w:val="7F7F7F" w:themeColor="text1" w:themeTint="80"/>
          <w:sz w:val="32"/>
          <w:szCs w:val="32"/>
        </w:rPr>
        <w:t>Contentieux</w:t>
      </w:r>
    </w:p>
    <w:p w14:paraId="0FCEE568" w14:textId="77777777" w:rsidR="005E3B19" w:rsidRPr="005E3B19" w:rsidRDefault="005E3B19" w:rsidP="001F4322">
      <w:pPr>
        <w:rPr>
          <w:b/>
          <w:color w:val="7F7F7F" w:themeColor="text1" w:themeTint="80"/>
          <w:sz w:val="32"/>
          <w:szCs w:val="32"/>
        </w:rPr>
      </w:pPr>
      <w:r w:rsidRPr="005E3B19">
        <w:rPr>
          <w:b/>
          <w:color w:val="7F7F7F" w:themeColor="text1" w:themeTint="80"/>
          <w:sz w:val="32"/>
          <w:szCs w:val="32"/>
        </w:rPr>
        <w:t>Actualité</w:t>
      </w:r>
    </w:p>
    <w:p w14:paraId="0F438EDE" w14:textId="77777777" w:rsidR="005E3B19" w:rsidRPr="001F4322" w:rsidRDefault="005E3B19" w:rsidP="001F4322">
      <w:pPr>
        <w:rPr>
          <w:b/>
          <w:color w:val="31849B" w:themeColor="accent5" w:themeShade="BF"/>
          <w:sz w:val="32"/>
          <w:szCs w:val="32"/>
        </w:rPr>
      </w:pPr>
    </w:p>
    <w:p w14:paraId="2DCC8416"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2. </w:t>
      </w:r>
      <w:r w:rsidR="001F4322" w:rsidRPr="005E3B19">
        <w:rPr>
          <w:b/>
          <w:color w:val="31849B" w:themeColor="accent5" w:themeShade="BF"/>
          <w:sz w:val="36"/>
          <w:szCs w:val="36"/>
        </w:rPr>
        <w:t>Commande publique</w:t>
      </w:r>
    </w:p>
    <w:p w14:paraId="19F404A1" w14:textId="77777777" w:rsidR="005E3B19" w:rsidRDefault="005E3B19" w:rsidP="005E3B19">
      <w:pPr>
        <w:rPr>
          <w:b/>
          <w:color w:val="7F7F7F" w:themeColor="text1" w:themeTint="80"/>
          <w:sz w:val="32"/>
          <w:szCs w:val="32"/>
        </w:rPr>
      </w:pPr>
    </w:p>
    <w:p w14:paraId="416256A6"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74A3070D"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2D527B61"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5054033E" w14:textId="77777777" w:rsidR="005E3B19" w:rsidRDefault="005E3B19" w:rsidP="001F4322">
      <w:pPr>
        <w:rPr>
          <w:b/>
          <w:color w:val="31849B" w:themeColor="accent5" w:themeShade="BF"/>
          <w:sz w:val="36"/>
          <w:szCs w:val="36"/>
        </w:rPr>
      </w:pPr>
    </w:p>
    <w:p w14:paraId="420D348B"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3. </w:t>
      </w:r>
      <w:r w:rsidR="001F4322" w:rsidRPr="005E3B19">
        <w:rPr>
          <w:b/>
          <w:color w:val="31849B" w:themeColor="accent5" w:themeShade="BF"/>
          <w:sz w:val="36"/>
          <w:szCs w:val="36"/>
        </w:rPr>
        <w:t>Concurrence</w:t>
      </w:r>
    </w:p>
    <w:p w14:paraId="0FA59C3B" w14:textId="77777777" w:rsidR="005E3B19" w:rsidRDefault="005E3B19" w:rsidP="001F4322">
      <w:pPr>
        <w:rPr>
          <w:b/>
          <w:color w:val="31849B" w:themeColor="accent5" w:themeShade="BF"/>
          <w:sz w:val="36"/>
          <w:szCs w:val="36"/>
        </w:rPr>
      </w:pPr>
    </w:p>
    <w:p w14:paraId="5F672DD7"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145689F8"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56F7A20B"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75106D9D" w14:textId="77777777" w:rsidR="005E3B19" w:rsidRDefault="005E3B19" w:rsidP="001F4322">
      <w:pPr>
        <w:rPr>
          <w:b/>
          <w:color w:val="31849B" w:themeColor="accent5" w:themeShade="BF"/>
          <w:sz w:val="36"/>
          <w:szCs w:val="36"/>
        </w:rPr>
      </w:pPr>
    </w:p>
    <w:p w14:paraId="124A1646" w14:textId="77777777" w:rsidR="001F4322"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4. </w:t>
      </w:r>
      <w:r w:rsidR="001F4322" w:rsidRPr="005E3B19">
        <w:rPr>
          <w:b/>
          <w:color w:val="31849B" w:themeColor="accent5" w:themeShade="BF"/>
          <w:sz w:val="36"/>
          <w:szCs w:val="36"/>
        </w:rPr>
        <w:t>Contrats</w:t>
      </w:r>
    </w:p>
    <w:p w14:paraId="3F45472F" w14:textId="77777777" w:rsidR="005E3B19" w:rsidRDefault="005E3B19" w:rsidP="001F4322">
      <w:pPr>
        <w:rPr>
          <w:b/>
          <w:color w:val="31849B" w:themeColor="accent5" w:themeShade="BF"/>
          <w:sz w:val="36"/>
          <w:szCs w:val="36"/>
        </w:rPr>
      </w:pPr>
    </w:p>
    <w:p w14:paraId="5FC8A20D"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2EFDAD9B"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54F9E7D4"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123F85A9" w14:textId="77777777" w:rsidR="005E3B19" w:rsidRPr="005E3B19" w:rsidRDefault="005E3B19" w:rsidP="001F4322">
      <w:pPr>
        <w:rPr>
          <w:b/>
          <w:color w:val="31849B" w:themeColor="accent5" w:themeShade="BF"/>
          <w:sz w:val="36"/>
          <w:szCs w:val="36"/>
        </w:rPr>
      </w:pPr>
    </w:p>
    <w:p w14:paraId="29F76F79"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lastRenderedPageBreak/>
        <w:t xml:space="preserve">5. </w:t>
      </w:r>
      <w:r w:rsidR="001F4322" w:rsidRPr="005E3B19">
        <w:rPr>
          <w:b/>
          <w:color w:val="31849B" w:themeColor="accent5" w:themeShade="BF"/>
          <w:sz w:val="36"/>
          <w:szCs w:val="36"/>
        </w:rPr>
        <w:t>Droit social</w:t>
      </w:r>
    </w:p>
    <w:p w14:paraId="147C4EF3" w14:textId="77777777" w:rsidR="005E3B19" w:rsidRDefault="005E3B19" w:rsidP="001F4322">
      <w:pPr>
        <w:rPr>
          <w:b/>
          <w:color w:val="31849B" w:themeColor="accent5" w:themeShade="BF"/>
          <w:sz w:val="36"/>
          <w:szCs w:val="36"/>
        </w:rPr>
      </w:pPr>
    </w:p>
    <w:p w14:paraId="7FED7985"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545BDAD3" w14:textId="77777777" w:rsidR="005E3B19" w:rsidRDefault="005E3B19" w:rsidP="11A10C87">
      <w:pPr>
        <w:rPr>
          <w:b/>
          <w:bCs/>
          <w:color w:val="7F7F7F" w:themeColor="text1" w:themeTint="80"/>
          <w:sz w:val="32"/>
          <w:szCs w:val="32"/>
        </w:rPr>
      </w:pPr>
      <w:r w:rsidRPr="11A10C87">
        <w:rPr>
          <w:b/>
          <w:bCs/>
          <w:color w:val="000000" w:themeColor="text1"/>
          <w:sz w:val="32"/>
          <w:szCs w:val="32"/>
        </w:rPr>
        <w:t>Contentieux</w:t>
      </w:r>
    </w:p>
    <w:p w14:paraId="063667DB" w14:textId="386A82B3" w:rsidR="11A10C87" w:rsidRDefault="11A10C87" w:rsidP="11A10C87">
      <w:pPr>
        <w:rPr>
          <w:b/>
          <w:bCs/>
          <w:color w:val="000000" w:themeColor="text1"/>
          <w:sz w:val="32"/>
          <w:szCs w:val="32"/>
        </w:rPr>
      </w:pPr>
    </w:p>
    <w:p w14:paraId="091E66BE" w14:textId="0DACEF40" w:rsidR="00751211" w:rsidRPr="00751211" w:rsidRDefault="00751211" w:rsidP="00751211">
      <w:pPr>
        <w:jc w:val="both"/>
        <w:rPr>
          <w:b/>
          <w:color w:val="0070C0"/>
          <w:sz w:val="28"/>
          <w:szCs w:val="28"/>
        </w:rPr>
      </w:pPr>
      <w:r>
        <w:rPr>
          <w:b/>
          <w:color w:val="0070C0"/>
          <w:sz w:val="28"/>
          <w:szCs w:val="28"/>
        </w:rPr>
        <w:t>PREJUDICE D’ANXIETE (13 03860 et 14 05845)</w:t>
      </w:r>
    </w:p>
    <w:p w14:paraId="35438AF6" w14:textId="6A3F530C" w:rsidR="00751211" w:rsidRPr="00751211" w:rsidRDefault="00751211" w:rsidP="00751211">
      <w:pPr>
        <w:jc w:val="both"/>
        <w:rPr>
          <w:rFonts w:ascii="Times New Roman" w:hAnsi="Times New Roman" w:cs="Times New Roman"/>
          <w:sz w:val="24"/>
          <w:szCs w:val="24"/>
        </w:rPr>
      </w:pPr>
    </w:p>
    <w:p w14:paraId="00A809E8" w14:textId="1A61E507" w:rsidR="00751211" w:rsidRPr="00751211" w:rsidRDefault="00751211" w:rsidP="00751211">
      <w:pPr>
        <w:jc w:val="both"/>
        <w:rPr>
          <w:sz w:val="24"/>
          <w:szCs w:val="24"/>
        </w:rPr>
      </w:pPr>
      <w:bookmarkStart w:id="0" w:name="_GoBack"/>
      <w:r w:rsidRPr="00751211">
        <w:rPr>
          <w:sz w:val="24"/>
          <w:szCs w:val="24"/>
        </w:rPr>
        <w:t xml:space="preserve"> </w:t>
      </w:r>
      <w:r w:rsidRPr="009178C5">
        <w:rPr>
          <w:sz w:val="24"/>
          <w:szCs w:val="24"/>
        </w:rPr>
        <w:t>49</w:t>
      </w:r>
      <w:r w:rsidRPr="00751211">
        <w:rPr>
          <w:sz w:val="24"/>
          <w:szCs w:val="24"/>
        </w:rPr>
        <w:t xml:space="preserve"> agents qui avaient été employés par SNCF entre 1950 et 2014 au sein des Ateliers du </w:t>
      </w:r>
      <w:bookmarkEnd w:id="0"/>
      <w:r w:rsidRPr="00751211">
        <w:rPr>
          <w:sz w:val="24"/>
          <w:szCs w:val="24"/>
        </w:rPr>
        <w:t>Matériel Moteur (ATMM) et de l’Etablissement Industriel de Maintenance du Matériel (EIMM) de Bordeaux, ont sollicité l’indemnisation du préjudice d’anxiété qu’ils subiraient du fait d’une exposition à l’inhalation des poussières d’amiante au cours de leur carrière professionnelle (exposition non contestée).</w:t>
      </w:r>
    </w:p>
    <w:p w14:paraId="57FFDF79" w14:textId="7EB10725" w:rsidR="00751211" w:rsidRPr="00751211" w:rsidRDefault="00751211" w:rsidP="00751211">
      <w:pPr>
        <w:jc w:val="both"/>
        <w:rPr>
          <w:sz w:val="24"/>
          <w:szCs w:val="24"/>
        </w:rPr>
      </w:pPr>
      <w:r w:rsidRPr="00751211">
        <w:rPr>
          <w:sz w:val="24"/>
          <w:szCs w:val="24"/>
        </w:rPr>
        <w:t>Par jugement</w:t>
      </w:r>
      <w:r w:rsidRPr="009178C5">
        <w:rPr>
          <w:sz w:val="24"/>
          <w:szCs w:val="24"/>
        </w:rPr>
        <w:t>s</w:t>
      </w:r>
      <w:r w:rsidRPr="00751211">
        <w:rPr>
          <w:sz w:val="24"/>
          <w:szCs w:val="24"/>
        </w:rPr>
        <w:t xml:space="preserve"> du 16 avril 2015</w:t>
      </w:r>
      <w:r w:rsidRPr="009178C5">
        <w:rPr>
          <w:sz w:val="24"/>
          <w:szCs w:val="24"/>
        </w:rPr>
        <w:t xml:space="preserve"> et du</w:t>
      </w:r>
      <w:r w:rsidR="009178C5" w:rsidRPr="009178C5">
        <w:rPr>
          <w:sz w:val="24"/>
          <w:szCs w:val="24"/>
        </w:rPr>
        <w:t xml:space="preserve"> 04 juin </w:t>
      </w:r>
      <w:proofErr w:type="gramStart"/>
      <w:r w:rsidR="009178C5" w:rsidRPr="009178C5">
        <w:rPr>
          <w:sz w:val="24"/>
          <w:szCs w:val="24"/>
        </w:rPr>
        <w:t>2015 ,</w:t>
      </w:r>
      <w:proofErr w:type="gramEnd"/>
      <w:r w:rsidR="009178C5" w:rsidRPr="009178C5">
        <w:rPr>
          <w:sz w:val="24"/>
          <w:szCs w:val="24"/>
        </w:rPr>
        <w:t xml:space="preserve"> le Conseil des Prud’hommes</w:t>
      </w:r>
      <w:r w:rsidRPr="009178C5">
        <w:rPr>
          <w:sz w:val="24"/>
          <w:szCs w:val="24"/>
        </w:rPr>
        <w:t xml:space="preserve"> de Bordeaux avait r</w:t>
      </w:r>
      <w:r w:rsidRPr="00751211">
        <w:rPr>
          <w:sz w:val="24"/>
          <w:szCs w:val="24"/>
        </w:rPr>
        <w:t xml:space="preserve">ejeté la fin de </w:t>
      </w:r>
      <w:proofErr w:type="spellStart"/>
      <w:r w:rsidRPr="00751211">
        <w:rPr>
          <w:sz w:val="24"/>
          <w:szCs w:val="24"/>
        </w:rPr>
        <w:t>non recevoir</w:t>
      </w:r>
      <w:proofErr w:type="spellEnd"/>
      <w:r w:rsidRPr="00751211">
        <w:rPr>
          <w:sz w:val="24"/>
          <w:szCs w:val="24"/>
        </w:rPr>
        <w:t xml:space="preserve"> liée à la prescription </w:t>
      </w:r>
      <w:r w:rsidRPr="009178C5">
        <w:rPr>
          <w:sz w:val="24"/>
          <w:szCs w:val="24"/>
        </w:rPr>
        <w:t>et avait j</w:t>
      </w:r>
      <w:r w:rsidRPr="00751211">
        <w:rPr>
          <w:sz w:val="24"/>
          <w:szCs w:val="24"/>
        </w:rPr>
        <w:t xml:space="preserve">ugé qu’en exposant ses salariés à l’amiante sans équipement de protection adapté, SNCF n’avait pas respecté son obligation de sécurité-résultat. </w:t>
      </w:r>
    </w:p>
    <w:p w14:paraId="0D156D85" w14:textId="595F3358" w:rsidR="00751211" w:rsidRPr="00751211" w:rsidRDefault="00751211" w:rsidP="00751211">
      <w:pPr>
        <w:jc w:val="both"/>
        <w:rPr>
          <w:sz w:val="24"/>
          <w:szCs w:val="24"/>
        </w:rPr>
      </w:pPr>
      <w:r w:rsidRPr="00751211">
        <w:rPr>
          <w:sz w:val="24"/>
          <w:szCs w:val="24"/>
        </w:rPr>
        <w:t xml:space="preserve">Par </w:t>
      </w:r>
      <w:r w:rsidRPr="009178C5">
        <w:rPr>
          <w:sz w:val="24"/>
          <w:szCs w:val="24"/>
        </w:rPr>
        <w:t xml:space="preserve">deux </w:t>
      </w:r>
      <w:r w:rsidRPr="00751211">
        <w:rPr>
          <w:sz w:val="24"/>
          <w:szCs w:val="24"/>
        </w:rPr>
        <w:t>arrêt</w:t>
      </w:r>
      <w:r w:rsidRPr="009178C5">
        <w:rPr>
          <w:sz w:val="24"/>
          <w:szCs w:val="24"/>
        </w:rPr>
        <w:t>s</w:t>
      </w:r>
      <w:r w:rsidRPr="00751211">
        <w:rPr>
          <w:sz w:val="24"/>
          <w:szCs w:val="24"/>
        </w:rPr>
        <w:t xml:space="preserve"> du 23 mars 2017, la Cour d’Appel de BORDEAUX avait  infirmé ce jugement et avait débouté l’ensemble des requérants d</w:t>
      </w:r>
      <w:r w:rsidRPr="009178C5">
        <w:rPr>
          <w:sz w:val="24"/>
          <w:szCs w:val="24"/>
        </w:rPr>
        <w:t xml:space="preserve">e leurs demandes indemnitaires. </w:t>
      </w:r>
      <w:r w:rsidR="009178C5" w:rsidRPr="009178C5">
        <w:rPr>
          <w:sz w:val="24"/>
          <w:szCs w:val="24"/>
        </w:rPr>
        <w:t>La Cour d’appel</w:t>
      </w:r>
      <w:r w:rsidRPr="00751211">
        <w:rPr>
          <w:sz w:val="24"/>
          <w:szCs w:val="24"/>
        </w:rPr>
        <w:t xml:space="preserve"> avait maintenu le rejet de l’exception de non-</w:t>
      </w:r>
      <w:r w:rsidRPr="009178C5">
        <w:rPr>
          <w:sz w:val="24"/>
          <w:szCs w:val="24"/>
        </w:rPr>
        <w:t xml:space="preserve">recevoir liée à la prescription. Mais </w:t>
      </w:r>
      <w:r w:rsidRPr="00751211">
        <w:rPr>
          <w:sz w:val="24"/>
          <w:szCs w:val="24"/>
        </w:rPr>
        <w:t xml:space="preserve">Faisant une parfaite application de la jurisprudence de l’époque de la Cour de Cassation  aux termes de laquelle seuls les salariés des entreprises éligibles au dispositif ACAATA pouvaient prétendre à la réparation d’un préjudice d’anxiété, la Cour d’Appel avait considéré que les agents du Groupe Public Ferroviaire n’étaient pas fondés à invoquer un préjudice d’anxiété puisque SNCF n’est pas éligible à l’ACAATA. </w:t>
      </w:r>
    </w:p>
    <w:p w14:paraId="42483EF9" w14:textId="75B4DE14" w:rsidR="00751211" w:rsidRPr="00751211" w:rsidRDefault="00751211" w:rsidP="00751211">
      <w:pPr>
        <w:jc w:val="both"/>
        <w:rPr>
          <w:sz w:val="24"/>
          <w:szCs w:val="24"/>
        </w:rPr>
      </w:pPr>
      <w:r w:rsidRPr="009178C5">
        <w:rPr>
          <w:sz w:val="24"/>
          <w:szCs w:val="24"/>
        </w:rPr>
        <w:t xml:space="preserve">Mais, par arrêt du 05 avril 2019, </w:t>
      </w:r>
      <w:r w:rsidRPr="00751211">
        <w:rPr>
          <w:sz w:val="24"/>
          <w:szCs w:val="24"/>
        </w:rPr>
        <w:t xml:space="preserve">l’Assemblée Plénière de la Cour de cassation du 05 avril 2019 </w:t>
      </w:r>
      <w:r w:rsidRPr="009178C5">
        <w:rPr>
          <w:sz w:val="24"/>
          <w:szCs w:val="24"/>
        </w:rPr>
        <w:t xml:space="preserve">avait opéré un revirement de jurisprudence et </w:t>
      </w:r>
      <w:r w:rsidRPr="00751211">
        <w:rPr>
          <w:sz w:val="24"/>
          <w:szCs w:val="24"/>
        </w:rPr>
        <w:t>avait étendu le préjudice d’anxiété à tous les salariés.</w:t>
      </w:r>
    </w:p>
    <w:p w14:paraId="13A79FBF" w14:textId="2B4020B1" w:rsidR="00751211" w:rsidRPr="00751211" w:rsidRDefault="00751211" w:rsidP="00751211">
      <w:pPr>
        <w:jc w:val="both"/>
        <w:rPr>
          <w:sz w:val="24"/>
          <w:szCs w:val="24"/>
        </w:rPr>
      </w:pPr>
      <w:r w:rsidRPr="009178C5">
        <w:rPr>
          <w:sz w:val="24"/>
          <w:szCs w:val="24"/>
        </w:rPr>
        <w:t>Dans ces conditions, p</w:t>
      </w:r>
      <w:r w:rsidRPr="00751211">
        <w:rPr>
          <w:sz w:val="24"/>
          <w:szCs w:val="24"/>
        </w:rPr>
        <w:t xml:space="preserve">ar </w:t>
      </w:r>
      <w:r w:rsidRPr="009178C5">
        <w:rPr>
          <w:sz w:val="24"/>
          <w:szCs w:val="24"/>
        </w:rPr>
        <w:t xml:space="preserve">deux </w:t>
      </w:r>
      <w:r w:rsidRPr="00751211">
        <w:rPr>
          <w:sz w:val="24"/>
          <w:szCs w:val="24"/>
        </w:rPr>
        <w:t>arrêt</w:t>
      </w:r>
      <w:r w:rsidRPr="009178C5">
        <w:rPr>
          <w:sz w:val="24"/>
          <w:szCs w:val="24"/>
        </w:rPr>
        <w:t>s</w:t>
      </w:r>
      <w:r w:rsidRPr="00751211">
        <w:rPr>
          <w:sz w:val="24"/>
          <w:szCs w:val="24"/>
        </w:rPr>
        <w:t xml:space="preserve"> d</w:t>
      </w:r>
      <w:r w:rsidRPr="009178C5">
        <w:rPr>
          <w:sz w:val="24"/>
          <w:szCs w:val="24"/>
        </w:rPr>
        <w:t xml:space="preserve">u 8 juin 2020, la Haute Cour a </w:t>
      </w:r>
      <w:r w:rsidRPr="00751211">
        <w:rPr>
          <w:sz w:val="24"/>
          <w:szCs w:val="24"/>
        </w:rPr>
        <w:t>cassé partiellement</w:t>
      </w:r>
      <w:r w:rsidRPr="009178C5">
        <w:rPr>
          <w:sz w:val="24"/>
          <w:szCs w:val="24"/>
        </w:rPr>
        <w:t xml:space="preserve"> les arrêts du 23 mars 2017</w:t>
      </w:r>
      <w:r w:rsidRPr="00751211">
        <w:rPr>
          <w:sz w:val="24"/>
          <w:szCs w:val="24"/>
        </w:rPr>
        <w:t>:</w:t>
      </w:r>
    </w:p>
    <w:p w14:paraId="20A82141" w14:textId="12E7898F" w:rsidR="00751211" w:rsidRPr="00751211" w:rsidRDefault="009178C5" w:rsidP="00751211">
      <w:pPr>
        <w:numPr>
          <w:ilvl w:val="0"/>
          <w:numId w:val="17"/>
        </w:numPr>
        <w:jc w:val="both"/>
        <w:rPr>
          <w:sz w:val="24"/>
          <w:szCs w:val="24"/>
        </w:rPr>
      </w:pPr>
      <w:r w:rsidRPr="009178C5">
        <w:rPr>
          <w:sz w:val="24"/>
          <w:szCs w:val="24"/>
        </w:rPr>
        <w:t xml:space="preserve">Elle </w:t>
      </w:r>
      <w:r w:rsidR="00751211" w:rsidRPr="00751211">
        <w:rPr>
          <w:sz w:val="24"/>
          <w:szCs w:val="24"/>
        </w:rPr>
        <w:t xml:space="preserve">ne casse pas les dispositions ayant rejeté la fin de </w:t>
      </w:r>
      <w:proofErr w:type="spellStart"/>
      <w:r w:rsidR="00751211" w:rsidRPr="00751211">
        <w:rPr>
          <w:sz w:val="24"/>
          <w:szCs w:val="24"/>
        </w:rPr>
        <w:t>non recevoir</w:t>
      </w:r>
      <w:proofErr w:type="spellEnd"/>
      <w:r w:rsidR="00751211" w:rsidRPr="00751211">
        <w:rPr>
          <w:sz w:val="24"/>
          <w:szCs w:val="24"/>
        </w:rPr>
        <w:t xml:space="preserve"> liée à la prescription</w:t>
      </w:r>
      <w:r w:rsidR="00751211" w:rsidRPr="009178C5">
        <w:rPr>
          <w:sz w:val="24"/>
          <w:szCs w:val="24"/>
        </w:rPr>
        <w:t>,</w:t>
      </w:r>
    </w:p>
    <w:p w14:paraId="3BFCD315" w14:textId="17355583" w:rsidR="00751211" w:rsidRPr="009178C5" w:rsidRDefault="00751211" w:rsidP="00751211">
      <w:pPr>
        <w:numPr>
          <w:ilvl w:val="0"/>
          <w:numId w:val="17"/>
        </w:numPr>
        <w:jc w:val="both"/>
        <w:rPr>
          <w:sz w:val="24"/>
          <w:szCs w:val="24"/>
        </w:rPr>
      </w:pPr>
      <w:r w:rsidRPr="00751211">
        <w:rPr>
          <w:sz w:val="24"/>
          <w:szCs w:val="24"/>
        </w:rPr>
        <w:t>La Cour de Cassation casse les autres dispositions de</w:t>
      </w:r>
      <w:r w:rsidRPr="009178C5">
        <w:rPr>
          <w:sz w:val="24"/>
          <w:szCs w:val="24"/>
        </w:rPr>
        <w:t xml:space="preserve">s </w:t>
      </w:r>
      <w:r w:rsidRPr="00751211">
        <w:rPr>
          <w:sz w:val="24"/>
          <w:szCs w:val="24"/>
        </w:rPr>
        <w:t>arrêt</w:t>
      </w:r>
      <w:r w:rsidRPr="009178C5">
        <w:rPr>
          <w:sz w:val="24"/>
          <w:szCs w:val="24"/>
        </w:rPr>
        <w:t>s de la Cour d’Appel. Elle</w:t>
      </w:r>
      <w:r w:rsidRPr="00751211">
        <w:rPr>
          <w:sz w:val="24"/>
          <w:szCs w:val="24"/>
        </w:rPr>
        <w:t xml:space="preserve"> retient que « le salarié qui justifie d'une exposition à l'amiante, générant un risque élevé de développer une pathologie grave, peut agir contre son employeur, pour manquement de ce dernier à son obligation de sécurité, quand bien même il n'aurait pas travaillé dans l'un des établissements mentionnés à l'article 41 de la loi du 23 décembre 1998 »</w:t>
      </w:r>
    </w:p>
    <w:p w14:paraId="1D0B82F8" w14:textId="6948B47F" w:rsidR="00751211" w:rsidRPr="00751211" w:rsidRDefault="009178C5" w:rsidP="009178C5">
      <w:pPr>
        <w:autoSpaceDE w:val="0"/>
        <w:autoSpaceDN w:val="0"/>
        <w:jc w:val="both"/>
        <w:rPr>
          <w:sz w:val="24"/>
          <w:szCs w:val="24"/>
        </w:rPr>
      </w:pPr>
      <w:r w:rsidRPr="009178C5">
        <w:rPr>
          <w:sz w:val="24"/>
          <w:szCs w:val="24"/>
        </w:rPr>
        <w:t>A noter aussi que, pour le cas d’un des agents qui a déclaré une maladie professionnelle, l</w:t>
      </w:r>
      <w:r w:rsidR="00751211" w:rsidRPr="00751211">
        <w:rPr>
          <w:sz w:val="24"/>
          <w:szCs w:val="24"/>
        </w:rPr>
        <w:t>a Cour de Cassation retient que la déclaration d’une maladie professionnelle ne prive pas le salarié du droit de demander à la juridiction prud'homale la réparation des conséquences du trouble psychologique, compris dans le préjudice d'anxiété, subi avant la déclaration de la maladie.</w:t>
      </w:r>
    </w:p>
    <w:p w14:paraId="100EA639" w14:textId="77777777" w:rsidR="00751211" w:rsidRPr="00751211" w:rsidRDefault="00751211" w:rsidP="00751211">
      <w:pPr>
        <w:jc w:val="both"/>
        <w:rPr>
          <w:rFonts w:ascii="Times New Roman" w:hAnsi="Times New Roman" w:cs="Times New Roman"/>
          <w:sz w:val="24"/>
          <w:szCs w:val="24"/>
        </w:rPr>
      </w:pPr>
    </w:p>
    <w:p w14:paraId="669C7067" w14:textId="77777777" w:rsidR="00751211" w:rsidRPr="00751211" w:rsidRDefault="00751211" w:rsidP="00751211">
      <w:pPr>
        <w:rPr>
          <w:rFonts w:ascii="Times New Roman" w:hAnsi="Times New Roman" w:cs="Times New Roman"/>
          <w:sz w:val="24"/>
          <w:szCs w:val="24"/>
        </w:rPr>
      </w:pPr>
    </w:p>
    <w:p w14:paraId="1A9115A8" w14:textId="77777777" w:rsidR="00751211" w:rsidRPr="00751211" w:rsidRDefault="00751211" w:rsidP="00751211">
      <w:pPr>
        <w:rPr>
          <w:rFonts w:ascii="Calibri" w:hAnsi="Calibri" w:cs="Times New Roman"/>
        </w:rPr>
      </w:pPr>
    </w:p>
    <w:p w14:paraId="1E9FF796" w14:textId="16CDDB42" w:rsidR="11A10C87" w:rsidRDefault="11A10C87" w:rsidP="11A10C87">
      <w:pPr>
        <w:rPr>
          <w:b/>
          <w:bCs/>
          <w:color w:val="000000" w:themeColor="text1"/>
          <w:sz w:val="32"/>
          <w:szCs w:val="32"/>
        </w:rPr>
      </w:pPr>
    </w:p>
    <w:p w14:paraId="390E9E34" w14:textId="5B29A2A2" w:rsidR="11A10C87" w:rsidRDefault="11A10C87" w:rsidP="11A10C87">
      <w:pPr>
        <w:rPr>
          <w:b/>
          <w:bCs/>
          <w:color w:val="000000" w:themeColor="text1"/>
          <w:sz w:val="32"/>
          <w:szCs w:val="32"/>
        </w:rPr>
      </w:pPr>
    </w:p>
    <w:p w14:paraId="47094943"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4A4C649C" w14:textId="77777777" w:rsidR="005E3B19" w:rsidRDefault="005E3B19" w:rsidP="001F4322">
      <w:pPr>
        <w:rPr>
          <w:b/>
          <w:color w:val="31849B" w:themeColor="accent5" w:themeShade="BF"/>
          <w:sz w:val="36"/>
          <w:szCs w:val="36"/>
        </w:rPr>
      </w:pPr>
    </w:p>
    <w:p w14:paraId="6FBC8345"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6. </w:t>
      </w:r>
      <w:r w:rsidR="001F4322" w:rsidRPr="005E3B19">
        <w:rPr>
          <w:b/>
          <w:color w:val="31849B" w:themeColor="accent5" w:themeShade="BF"/>
          <w:sz w:val="36"/>
          <w:szCs w:val="36"/>
        </w:rPr>
        <w:t>Environnement</w:t>
      </w:r>
    </w:p>
    <w:p w14:paraId="2E04DCA9" w14:textId="77777777" w:rsidR="005E3B19" w:rsidRDefault="005E3B19" w:rsidP="001F4322">
      <w:pPr>
        <w:rPr>
          <w:b/>
          <w:color w:val="31849B" w:themeColor="accent5" w:themeShade="BF"/>
          <w:sz w:val="36"/>
          <w:szCs w:val="36"/>
        </w:rPr>
      </w:pPr>
    </w:p>
    <w:p w14:paraId="0B921D22"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7F745DBD"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2E3D2B4D"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7BB2E463" w14:textId="77777777" w:rsidR="005E3B19" w:rsidRDefault="005E3B19" w:rsidP="001F4322">
      <w:pPr>
        <w:rPr>
          <w:b/>
          <w:color w:val="31849B" w:themeColor="accent5" w:themeShade="BF"/>
          <w:sz w:val="36"/>
          <w:szCs w:val="36"/>
        </w:rPr>
      </w:pPr>
    </w:p>
    <w:p w14:paraId="18F0ABBE"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7. </w:t>
      </w:r>
      <w:r w:rsidR="001F4322" w:rsidRPr="005E3B19">
        <w:rPr>
          <w:b/>
          <w:color w:val="31849B" w:themeColor="accent5" w:themeShade="BF"/>
          <w:sz w:val="36"/>
          <w:szCs w:val="36"/>
        </w:rPr>
        <w:t>Régulation</w:t>
      </w:r>
    </w:p>
    <w:p w14:paraId="63F96293" w14:textId="77777777" w:rsidR="005E3B19" w:rsidRDefault="005E3B19" w:rsidP="001F4322">
      <w:pPr>
        <w:rPr>
          <w:b/>
          <w:color w:val="31849B" w:themeColor="accent5" w:themeShade="BF"/>
          <w:sz w:val="36"/>
          <w:szCs w:val="36"/>
        </w:rPr>
      </w:pPr>
    </w:p>
    <w:p w14:paraId="71479756"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6285BAB2"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3F5833A1"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35C16FB8" w14:textId="77777777" w:rsidR="005E3B19" w:rsidRDefault="005E3B19" w:rsidP="001F4322">
      <w:pPr>
        <w:rPr>
          <w:b/>
          <w:color w:val="31849B" w:themeColor="accent5" w:themeShade="BF"/>
          <w:sz w:val="36"/>
          <w:szCs w:val="36"/>
        </w:rPr>
      </w:pPr>
    </w:p>
    <w:p w14:paraId="58E7C394" w14:textId="77777777" w:rsidR="001F4322"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8. </w:t>
      </w:r>
      <w:r w:rsidR="001F4322" w:rsidRPr="005E3B19">
        <w:rPr>
          <w:b/>
          <w:color w:val="31849B" w:themeColor="accent5" w:themeShade="BF"/>
          <w:sz w:val="36"/>
          <w:szCs w:val="36"/>
        </w:rPr>
        <w:t>Responsabilité civile (dont sinistres)</w:t>
      </w:r>
    </w:p>
    <w:p w14:paraId="4E46E785" w14:textId="77777777" w:rsidR="005E3B19" w:rsidRDefault="005E3B19" w:rsidP="001F4322">
      <w:pPr>
        <w:rPr>
          <w:b/>
          <w:color w:val="31849B" w:themeColor="accent5" w:themeShade="BF"/>
          <w:sz w:val="36"/>
          <w:szCs w:val="36"/>
        </w:rPr>
      </w:pPr>
    </w:p>
    <w:p w14:paraId="112CC298" w14:textId="77777777" w:rsidR="005E3B19" w:rsidRDefault="005E3B19" w:rsidP="005E3B19">
      <w:pPr>
        <w:rPr>
          <w:b/>
          <w:color w:val="7F7F7F" w:themeColor="text1" w:themeTint="80"/>
          <w:sz w:val="32"/>
          <w:szCs w:val="32"/>
        </w:rPr>
      </w:pPr>
      <w:r w:rsidRPr="7E8FB452">
        <w:rPr>
          <w:b/>
          <w:bCs/>
          <w:color w:val="7F7F7F" w:themeColor="text1" w:themeTint="80"/>
          <w:sz w:val="32"/>
          <w:szCs w:val="32"/>
        </w:rPr>
        <w:t>Consultations</w:t>
      </w:r>
    </w:p>
    <w:p w14:paraId="01B2F4C3" w14:textId="77777777" w:rsidR="005E3B19" w:rsidRDefault="005E3B19" w:rsidP="005E3B19">
      <w:pPr>
        <w:rPr>
          <w:b/>
          <w:color w:val="7F7F7F" w:themeColor="text1" w:themeTint="80"/>
          <w:sz w:val="32"/>
          <w:szCs w:val="32"/>
        </w:rPr>
      </w:pPr>
      <w:r w:rsidRPr="7E8FB452">
        <w:rPr>
          <w:b/>
          <w:bCs/>
          <w:color w:val="7F7F7F" w:themeColor="text1" w:themeTint="80"/>
          <w:sz w:val="32"/>
          <w:szCs w:val="32"/>
        </w:rPr>
        <w:t>Contentieux</w:t>
      </w:r>
    </w:p>
    <w:p w14:paraId="19C1E25F" w14:textId="77777777" w:rsidR="005E3B19" w:rsidRDefault="005E3B19" w:rsidP="005E3B19">
      <w:pPr>
        <w:rPr>
          <w:b/>
          <w:color w:val="7F7F7F" w:themeColor="text1" w:themeTint="80"/>
          <w:sz w:val="32"/>
          <w:szCs w:val="32"/>
        </w:rPr>
      </w:pPr>
      <w:r w:rsidRPr="7E8FB452">
        <w:rPr>
          <w:b/>
          <w:bCs/>
          <w:color w:val="7F7F7F" w:themeColor="text1" w:themeTint="80"/>
          <w:sz w:val="32"/>
          <w:szCs w:val="32"/>
        </w:rPr>
        <w:t>Actualité</w:t>
      </w:r>
    </w:p>
    <w:p w14:paraId="6F2259BA" w14:textId="77777777" w:rsidR="008C0ABA" w:rsidRPr="005E3B19" w:rsidRDefault="008C0ABA" w:rsidP="005E3B19">
      <w:pPr>
        <w:rPr>
          <w:b/>
          <w:color w:val="7F7F7F" w:themeColor="text1" w:themeTint="80"/>
          <w:sz w:val="32"/>
          <w:szCs w:val="32"/>
        </w:rPr>
      </w:pPr>
    </w:p>
    <w:p w14:paraId="13D919BA" w14:textId="77777777" w:rsidR="005E3B19" w:rsidRDefault="005E3B19" w:rsidP="001F4322">
      <w:pPr>
        <w:rPr>
          <w:b/>
          <w:color w:val="31849B" w:themeColor="accent5" w:themeShade="BF"/>
          <w:sz w:val="36"/>
          <w:szCs w:val="36"/>
        </w:rPr>
      </w:pPr>
    </w:p>
    <w:p w14:paraId="0ABCB071" w14:textId="77777777" w:rsidR="001F4322" w:rsidRPr="001F4322"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2"/>
          <w:szCs w:val="32"/>
        </w:rPr>
      </w:pPr>
      <w:r>
        <w:rPr>
          <w:b/>
          <w:color w:val="31849B" w:themeColor="accent5" w:themeShade="BF"/>
          <w:sz w:val="36"/>
          <w:szCs w:val="36"/>
        </w:rPr>
        <w:t xml:space="preserve">9. </w:t>
      </w:r>
      <w:r w:rsidR="001F4322" w:rsidRPr="005E3B19">
        <w:rPr>
          <w:b/>
          <w:color w:val="31849B" w:themeColor="accent5" w:themeShade="BF"/>
          <w:sz w:val="36"/>
          <w:szCs w:val="36"/>
        </w:rPr>
        <w:t>Responsabilité pénale</w:t>
      </w:r>
    </w:p>
    <w:p w14:paraId="03C9978D" w14:textId="77777777" w:rsidR="005E3B19" w:rsidRDefault="005E3B19" w:rsidP="005E3B19">
      <w:pPr>
        <w:rPr>
          <w:b/>
          <w:color w:val="31849B" w:themeColor="accent5" w:themeShade="BF"/>
          <w:sz w:val="36"/>
          <w:szCs w:val="36"/>
        </w:rPr>
      </w:pPr>
    </w:p>
    <w:p w14:paraId="67C7AE0C"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726CFA8B" w14:textId="77777777" w:rsidR="005E3B19" w:rsidRDefault="005E3B19" w:rsidP="19987FD9">
      <w:pPr>
        <w:rPr>
          <w:b/>
          <w:bCs/>
          <w:color w:val="7F7F7F" w:themeColor="text1" w:themeTint="80"/>
          <w:sz w:val="32"/>
          <w:szCs w:val="32"/>
        </w:rPr>
      </w:pPr>
      <w:r w:rsidRPr="19987FD9">
        <w:rPr>
          <w:b/>
          <w:bCs/>
          <w:color w:val="000000" w:themeColor="text1"/>
          <w:sz w:val="32"/>
          <w:szCs w:val="32"/>
        </w:rPr>
        <w:t>Contentieux</w:t>
      </w:r>
    </w:p>
    <w:p w14:paraId="160BB559" w14:textId="520605AA" w:rsidR="19987FD9" w:rsidRDefault="19987FD9" w:rsidP="19987FD9">
      <w:pPr>
        <w:rPr>
          <w:b/>
          <w:bCs/>
          <w:color w:val="000000" w:themeColor="text1"/>
          <w:sz w:val="32"/>
          <w:szCs w:val="32"/>
        </w:rPr>
      </w:pPr>
    </w:p>
    <w:p w14:paraId="6737430F" w14:textId="6F65D811" w:rsidR="00751211" w:rsidRPr="00751211" w:rsidRDefault="00751211" w:rsidP="00751211">
      <w:pPr>
        <w:jc w:val="both"/>
        <w:rPr>
          <w:b/>
          <w:color w:val="0070C0"/>
          <w:sz w:val="28"/>
          <w:szCs w:val="28"/>
        </w:rPr>
      </w:pPr>
      <w:r w:rsidRPr="00751211">
        <w:rPr>
          <w:b/>
          <w:color w:val="0070C0"/>
          <w:sz w:val="28"/>
          <w:szCs w:val="28"/>
        </w:rPr>
        <w:t>VOLS VOITURE BAR</w:t>
      </w:r>
      <w:r>
        <w:rPr>
          <w:b/>
          <w:color w:val="0070C0"/>
          <w:sz w:val="28"/>
          <w:szCs w:val="28"/>
        </w:rPr>
        <w:t xml:space="preserve"> (16 02873)</w:t>
      </w:r>
    </w:p>
    <w:p w14:paraId="03637EB2" w14:textId="77777777" w:rsidR="00751211" w:rsidRPr="00751211" w:rsidRDefault="00751211" w:rsidP="00751211">
      <w:pPr>
        <w:rPr>
          <w:rFonts w:ascii="Times New Roman" w:eastAsia="Times New Roman" w:hAnsi="Times New Roman" w:cs="Arial"/>
          <w:color w:val="365F91"/>
          <w:sz w:val="24"/>
          <w:szCs w:val="20"/>
          <w:lang w:eastAsia="fr-FR"/>
        </w:rPr>
      </w:pPr>
    </w:p>
    <w:p w14:paraId="1B00131C" w14:textId="77777777" w:rsidR="00751211" w:rsidRPr="00751211" w:rsidRDefault="00751211" w:rsidP="00751211">
      <w:pPr>
        <w:jc w:val="both"/>
        <w:rPr>
          <w:sz w:val="24"/>
          <w:szCs w:val="24"/>
        </w:rPr>
      </w:pPr>
      <w:r w:rsidRPr="00751211">
        <w:rPr>
          <w:sz w:val="24"/>
          <w:szCs w:val="24"/>
        </w:rPr>
        <w:t xml:space="preserve">Plusieurs agents du prestataire de nettoyage, CHALLANCIN puis ONET, ont commis des vols de denrées alimentaires dans les voitures bar des TGV stationnées en gare de Bordeaux entre le 1er janvier 2015 et le 05 juillet 2016. C’est un système de vidéosurveillance mis en place par la SUGE qui a permis l’interpellation de 5 auteurs et 2 receleurs. </w:t>
      </w:r>
    </w:p>
    <w:p w14:paraId="6CE9E599" w14:textId="77777777" w:rsidR="00751211" w:rsidRPr="00751211" w:rsidRDefault="00751211" w:rsidP="00751211">
      <w:pPr>
        <w:jc w:val="both"/>
        <w:rPr>
          <w:sz w:val="24"/>
          <w:szCs w:val="24"/>
        </w:rPr>
      </w:pPr>
      <w:r w:rsidRPr="00751211">
        <w:rPr>
          <w:sz w:val="24"/>
          <w:szCs w:val="24"/>
        </w:rPr>
        <w:lastRenderedPageBreak/>
        <w:t>Le préjudice de SNCF Voyageurs en qualité de propriétaire des marchandises a été évalué à 141 646,16 € par NEWREST en charge de la vente des denrées dans les voitures bar, selon le prix de vente de ces marchandises (le prix d’achat n’est pas disponible).</w:t>
      </w:r>
    </w:p>
    <w:p w14:paraId="641A02E9" w14:textId="77777777" w:rsidR="00751211" w:rsidRPr="00751211" w:rsidRDefault="00751211" w:rsidP="00751211">
      <w:pPr>
        <w:jc w:val="both"/>
        <w:rPr>
          <w:sz w:val="24"/>
          <w:szCs w:val="24"/>
        </w:rPr>
      </w:pPr>
      <w:r w:rsidRPr="00751211">
        <w:rPr>
          <w:sz w:val="24"/>
          <w:szCs w:val="24"/>
        </w:rPr>
        <w:t>Par jugement du 16/06/2017, le Tribunal Correctionnel de Bordeaux a reconnu la culpabilité des 7 prévenus et les a condamnés à une peine de 2 mois d’emprisonnement avec sursis.</w:t>
      </w:r>
    </w:p>
    <w:p w14:paraId="54EE86E0" w14:textId="77777777" w:rsidR="00751211" w:rsidRPr="00751211" w:rsidRDefault="00751211" w:rsidP="00751211">
      <w:pPr>
        <w:jc w:val="both"/>
        <w:rPr>
          <w:sz w:val="24"/>
          <w:szCs w:val="24"/>
        </w:rPr>
      </w:pPr>
      <w:r w:rsidRPr="00751211">
        <w:rPr>
          <w:sz w:val="24"/>
          <w:szCs w:val="24"/>
        </w:rPr>
        <w:t>Le Tribunal Correctionnel de Bordeaux a rendu son jugement sur intérêts civils le 12 juillet 2018, déboutant SNCF Mobilités de l’ensemble de sa réclamation indemnitaire envers les 7 personnes physiques. Le Tribunal a rappelé que « seuls peuvent être indemnisés les préjudices subis directement et personnellement par le demandeur ». Il en déduisait que :</w:t>
      </w:r>
    </w:p>
    <w:p w14:paraId="5DB91E3C" w14:textId="77777777" w:rsidR="00751211" w:rsidRPr="00751211" w:rsidRDefault="00751211" w:rsidP="00751211">
      <w:pPr>
        <w:numPr>
          <w:ilvl w:val="0"/>
          <w:numId w:val="10"/>
        </w:numPr>
        <w:ind w:left="540"/>
        <w:jc w:val="both"/>
        <w:rPr>
          <w:sz w:val="24"/>
          <w:szCs w:val="24"/>
        </w:rPr>
      </w:pPr>
      <w:r w:rsidRPr="00751211">
        <w:rPr>
          <w:sz w:val="24"/>
          <w:szCs w:val="24"/>
        </w:rPr>
        <w:t>SNCF Mobilités se dit propriétaire de la marchandise sans fournir de document démontrant qu’elle les avait acquises personnellement ;</w:t>
      </w:r>
    </w:p>
    <w:p w14:paraId="21C9BBFD" w14:textId="77777777" w:rsidR="00751211" w:rsidRPr="00751211" w:rsidRDefault="00751211" w:rsidP="00751211">
      <w:pPr>
        <w:numPr>
          <w:ilvl w:val="0"/>
          <w:numId w:val="10"/>
        </w:numPr>
        <w:ind w:left="540"/>
        <w:jc w:val="both"/>
        <w:rPr>
          <w:sz w:val="24"/>
          <w:szCs w:val="24"/>
        </w:rPr>
      </w:pPr>
      <w:r w:rsidRPr="00751211">
        <w:rPr>
          <w:sz w:val="24"/>
          <w:szCs w:val="24"/>
        </w:rPr>
        <w:t>De surcroit, le préjudice n’est pas certain puisqu’il s’agit d’une simple « estimation » ;</w:t>
      </w:r>
    </w:p>
    <w:p w14:paraId="533DAABB" w14:textId="77777777" w:rsidR="00751211" w:rsidRPr="00751211" w:rsidRDefault="00751211" w:rsidP="00751211">
      <w:pPr>
        <w:numPr>
          <w:ilvl w:val="0"/>
          <w:numId w:val="10"/>
        </w:numPr>
        <w:ind w:left="540"/>
        <w:jc w:val="both"/>
        <w:rPr>
          <w:sz w:val="24"/>
          <w:szCs w:val="24"/>
        </w:rPr>
      </w:pPr>
      <w:r w:rsidRPr="00751211">
        <w:rPr>
          <w:sz w:val="24"/>
          <w:szCs w:val="24"/>
        </w:rPr>
        <w:t>Enfin, le préjudice n’est pas réel dès lors qu’il est calculé sur le prix de vente et non le prix d’achat.</w:t>
      </w:r>
    </w:p>
    <w:p w14:paraId="7FCBAF42" w14:textId="77777777" w:rsidR="00751211" w:rsidRPr="00751211" w:rsidRDefault="00751211" w:rsidP="00751211">
      <w:pPr>
        <w:jc w:val="both"/>
        <w:rPr>
          <w:sz w:val="24"/>
          <w:szCs w:val="24"/>
        </w:rPr>
      </w:pPr>
      <w:r w:rsidRPr="00751211">
        <w:rPr>
          <w:sz w:val="24"/>
          <w:szCs w:val="24"/>
        </w:rPr>
        <w:t>Un appel a été interjeté par SNCF Mobilités qui faisait valoir :</w:t>
      </w:r>
    </w:p>
    <w:p w14:paraId="440F6353" w14:textId="77777777" w:rsidR="00751211" w:rsidRPr="00751211" w:rsidRDefault="00751211" w:rsidP="00751211">
      <w:pPr>
        <w:numPr>
          <w:ilvl w:val="0"/>
          <w:numId w:val="11"/>
        </w:numPr>
        <w:jc w:val="both"/>
        <w:rPr>
          <w:sz w:val="24"/>
          <w:szCs w:val="24"/>
        </w:rPr>
      </w:pPr>
      <w:r w:rsidRPr="00751211">
        <w:rPr>
          <w:sz w:val="24"/>
          <w:szCs w:val="24"/>
        </w:rPr>
        <w:t>Sa qualité de propriétaire en fournissant un extrait du marché nous liant à NEWREST,</w:t>
      </w:r>
    </w:p>
    <w:p w14:paraId="1D6233CE" w14:textId="77777777" w:rsidR="00751211" w:rsidRPr="00751211" w:rsidRDefault="00751211" w:rsidP="00751211">
      <w:pPr>
        <w:numPr>
          <w:ilvl w:val="0"/>
          <w:numId w:val="11"/>
        </w:numPr>
        <w:jc w:val="both"/>
        <w:rPr>
          <w:sz w:val="24"/>
          <w:szCs w:val="24"/>
        </w:rPr>
      </w:pPr>
      <w:r w:rsidRPr="00751211">
        <w:rPr>
          <w:sz w:val="24"/>
          <w:szCs w:val="24"/>
        </w:rPr>
        <w:t>Le montant du préjudice calculé à titre principal sur la valeur de vente de la marchandise, et à titre subsidiaire sur une valeur d’achat reconstituée forfaitairement.</w:t>
      </w:r>
    </w:p>
    <w:p w14:paraId="5B6A38B5" w14:textId="77777777" w:rsidR="00751211" w:rsidRPr="00751211" w:rsidRDefault="00751211" w:rsidP="00751211">
      <w:pPr>
        <w:jc w:val="both"/>
        <w:rPr>
          <w:sz w:val="24"/>
          <w:szCs w:val="24"/>
        </w:rPr>
      </w:pPr>
      <w:r w:rsidRPr="00751211">
        <w:rPr>
          <w:sz w:val="24"/>
          <w:szCs w:val="24"/>
        </w:rPr>
        <w:t>Mais, par arrêt du 12/06/2020, la Cour d’Appel de BORDEAUX a :</w:t>
      </w:r>
    </w:p>
    <w:p w14:paraId="150E4D8D" w14:textId="77777777" w:rsidR="00751211" w:rsidRPr="00751211" w:rsidRDefault="00751211" w:rsidP="00751211">
      <w:pPr>
        <w:numPr>
          <w:ilvl w:val="0"/>
          <w:numId w:val="12"/>
        </w:numPr>
        <w:jc w:val="both"/>
        <w:rPr>
          <w:sz w:val="24"/>
          <w:szCs w:val="24"/>
        </w:rPr>
      </w:pPr>
      <w:r w:rsidRPr="00751211">
        <w:rPr>
          <w:sz w:val="24"/>
          <w:szCs w:val="24"/>
        </w:rPr>
        <w:t>Confirmé le jugement en ce qu’il avait débouté SNCF Voyageurs de sa demande indemnitaire au titre du préjudice matériel. Elle retient que SNCF Voyageurs n’apporte pas la moindre pièce établissant qu’elle était propriétaire des biens volés,</w:t>
      </w:r>
    </w:p>
    <w:p w14:paraId="60C1CCDF" w14:textId="77777777" w:rsidR="00751211" w:rsidRPr="00751211" w:rsidRDefault="00751211" w:rsidP="00751211">
      <w:pPr>
        <w:numPr>
          <w:ilvl w:val="0"/>
          <w:numId w:val="12"/>
        </w:numPr>
        <w:jc w:val="both"/>
        <w:rPr>
          <w:sz w:val="24"/>
          <w:szCs w:val="24"/>
        </w:rPr>
      </w:pPr>
      <w:r w:rsidRPr="00751211">
        <w:rPr>
          <w:sz w:val="24"/>
          <w:szCs w:val="24"/>
        </w:rPr>
        <w:t>Toutefois, elle a infirmé le jugement concernant le préjudice moral. Ainsi, la Cour d’appel alloue une somme de 5 000 € à SNCF Voyageurs car le vol des marchandises a entraîné une dégradation du service offert aux voyageurs, qui ont été privés de la possibilité de se procurer de la nourriture dans les trains durant leur trajet.</w:t>
      </w:r>
    </w:p>
    <w:p w14:paraId="05DD7F20" w14:textId="77777777" w:rsidR="00751211" w:rsidRPr="00751211" w:rsidRDefault="00751211" w:rsidP="00751211">
      <w:pPr>
        <w:rPr>
          <w:rFonts w:ascii="Times New Roman" w:eastAsia="Times New Roman" w:hAnsi="Times New Roman" w:cs="Arial"/>
          <w:color w:val="365F91"/>
          <w:sz w:val="24"/>
          <w:szCs w:val="20"/>
          <w:lang w:eastAsia="fr-FR"/>
        </w:rPr>
      </w:pPr>
    </w:p>
    <w:p w14:paraId="6CEBA5DD" w14:textId="77777777" w:rsidR="00751211" w:rsidRPr="00751211" w:rsidRDefault="00751211" w:rsidP="00751211">
      <w:pPr>
        <w:jc w:val="both"/>
        <w:rPr>
          <w:rFonts w:ascii="Arial" w:eastAsia="Times New Roman" w:hAnsi="Arial" w:cs="Arial"/>
          <w:u w:val="single"/>
          <w:lang w:eastAsia="fr-FR"/>
        </w:rPr>
      </w:pPr>
    </w:p>
    <w:p w14:paraId="274701C7" w14:textId="77777777" w:rsidR="00751211" w:rsidRPr="00751211" w:rsidRDefault="00751211" w:rsidP="00751211">
      <w:pPr>
        <w:jc w:val="both"/>
        <w:rPr>
          <w:rFonts w:ascii="Arial" w:eastAsia="Times New Roman" w:hAnsi="Arial" w:cs="Arial"/>
          <w:u w:val="single"/>
          <w:lang w:eastAsia="fr-FR"/>
        </w:rPr>
      </w:pPr>
    </w:p>
    <w:p w14:paraId="3202E3B9" w14:textId="3D9EF9E2" w:rsidR="19987FD9" w:rsidRPr="00751211" w:rsidRDefault="19987FD9" w:rsidP="00751211">
      <w:pPr>
        <w:jc w:val="both"/>
        <w:rPr>
          <w:rFonts w:ascii="Arial" w:eastAsia="Times New Roman" w:hAnsi="Arial" w:cs="Times New Roman"/>
          <w:bCs/>
          <w:color w:val="366092"/>
          <w:lang w:eastAsia="fr-FR"/>
        </w:rPr>
      </w:pPr>
    </w:p>
    <w:p w14:paraId="59D48DD2"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4A519DB6" w14:textId="77777777" w:rsidR="005E3B19" w:rsidRDefault="005E3B19" w:rsidP="005E3B19">
      <w:pPr>
        <w:rPr>
          <w:b/>
          <w:color w:val="31849B" w:themeColor="accent5" w:themeShade="BF"/>
          <w:sz w:val="36"/>
          <w:szCs w:val="36"/>
        </w:rPr>
      </w:pPr>
    </w:p>
    <w:p w14:paraId="381C2297" w14:textId="77777777" w:rsidR="005E3B19" w:rsidRPr="005E3B19" w:rsidRDefault="005E3B19" w:rsidP="005E3B19">
      <w:pPr>
        <w:pBdr>
          <w:top w:val="single" w:sz="12" w:space="1" w:color="7F7F7F" w:themeColor="text1" w:themeTint="80"/>
          <w:left w:val="single" w:sz="12" w:space="4" w:color="7F7F7F" w:themeColor="text1" w:themeTint="80"/>
          <w:bottom w:val="single" w:sz="12" w:space="1" w:color="7F7F7F" w:themeColor="text1" w:themeTint="80"/>
          <w:right w:val="single" w:sz="12" w:space="4" w:color="7F7F7F" w:themeColor="text1" w:themeTint="80"/>
        </w:pBdr>
        <w:shd w:val="clear" w:color="auto" w:fill="F2F2F2" w:themeFill="background1" w:themeFillShade="F2"/>
        <w:rPr>
          <w:b/>
          <w:color w:val="31849B" w:themeColor="accent5" w:themeShade="BF"/>
          <w:sz w:val="36"/>
          <w:szCs w:val="36"/>
        </w:rPr>
      </w:pPr>
      <w:r>
        <w:rPr>
          <w:b/>
          <w:color w:val="31849B" w:themeColor="accent5" w:themeShade="BF"/>
          <w:sz w:val="36"/>
          <w:szCs w:val="36"/>
        </w:rPr>
        <w:t xml:space="preserve">10. </w:t>
      </w:r>
      <w:r w:rsidRPr="005E3B19">
        <w:rPr>
          <w:b/>
          <w:color w:val="31849B" w:themeColor="accent5" w:themeShade="BF"/>
          <w:sz w:val="36"/>
          <w:szCs w:val="36"/>
        </w:rPr>
        <w:t>Conformité</w:t>
      </w:r>
    </w:p>
    <w:p w14:paraId="2A67BBAC" w14:textId="77777777" w:rsidR="005E3B19" w:rsidRDefault="005E3B19" w:rsidP="005E3B19">
      <w:pPr>
        <w:rPr>
          <w:b/>
          <w:color w:val="7F7F7F" w:themeColor="text1" w:themeTint="80"/>
          <w:sz w:val="32"/>
          <w:szCs w:val="32"/>
        </w:rPr>
      </w:pPr>
    </w:p>
    <w:p w14:paraId="68976D87"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Consultations</w:t>
      </w:r>
    </w:p>
    <w:p w14:paraId="1451CF27"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Contentieux</w:t>
      </w:r>
    </w:p>
    <w:p w14:paraId="2184CF5B" w14:textId="77777777" w:rsidR="005E3B19" w:rsidRPr="005E3B19" w:rsidRDefault="005E3B19" w:rsidP="005E3B19">
      <w:pPr>
        <w:rPr>
          <w:b/>
          <w:color w:val="7F7F7F" w:themeColor="text1" w:themeTint="80"/>
          <w:sz w:val="32"/>
          <w:szCs w:val="32"/>
        </w:rPr>
      </w:pPr>
      <w:r w:rsidRPr="005E3B19">
        <w:rPr>
          <w:b/>
          <w:color w:val="7F7F7F" w:themeColor="text1" w:themeTint="80"/>
          <w:sz w:val="32"/>
          <w:szCs w:val="32"/>
        </w:rPr>
        <w:t>Actualité</w:t>
      </w:r>
    </w:p>
    <w:p w14:paraId="7F1394C5" w14:textId="77777777" w:rsidR="001F4322" w:rsidRPr="001F4322" w:rsidRDefault="001F4322" w:rsidP="001F4322">
      <w:pPr>
        <w:jc w:val="both"/>
        <w:rPr>
          <w:b/>
          <w:color w:val="31849B" w:themeColor="accent5" w:themeShade="BF"/>
          <w:sz w:val="48"/>
          <w:szCs w:val="48"/>
        </w:rPr>
      </w:pPr>
    </w:p>
    <w:sectPr w:rsidR="001F4322" w:rsidRPr="001F432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BD526" w14:textId="77777777" w:rsidR="00AB3B75" w:rsidRDefault="00AB3B75" w:rsidP="005E3B19">
      <w:r>
        <w:separator/>
      </w:r>
    </w:p>
  </w:endnote>
  <w:endnote w:type="continuationSeparator" w:id="0">
    <w:p w14:paraId="73C8BF06" w14:textId="77777777" w:rsidR="00AB3B75" w:rsidRDefault="00AB3B75" w:rsidP="005E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venir LT Std 35 Light">
    <w:altName w:val="Century Gothic"/>
    <w:panose1 w:val="020B0402020203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146A1" w14:textId="77777777" w:rsidR="005E3B19" w:rsidRDefault="005E3B19" w:rsidP="005E3B19">
    <w:pPr>
      <w:pStyle w:val="Pieddepage"/>
      <w:jc w:val="center"/>
    </w:pPr>
    <w:r>
      <w:t>Direction juridique et conformité de SNCF Voyageurs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15C4C" w14:textId="77777777" w:rsidR="00AB3B75" w:rsidRDefault="00AB3B75" w:rsidP="005E3B19">
      <w:r>
        <w:separator/>
      </w:r>
    </w:p>
  </w:footnote>
  <w:footnote w:type="continuationSeparator" w:id="0">
    <w:p w14:paraId="59D36829" w14:textId="77777777" w:rsidR="00AB3B75" w:rsidRDefault="00AB3B75" w:rsidP="005E3B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73F59"/>
    <w:multiLevelType w:val="hybridMultilevel"/>
    <w:tmpl w:val="0D62DE4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2C66098F"/>
    <w:multiLevelType w:val="hybridMultilevel"/>
    <w:tmpl w:val="A51A779E"/>
    <w:lvl w:ilvl="0" w:tplc="040C000D">
      <w:start w:val="1"/>
      <w:numFmt w:val="bullet"/>
      <w:lvlText w:val=""/>
      <w:lvlJc w:val="left"/>
      <w:pPr>
        <w:ind w:left="2484" w:hanging="360"/>
      </w:pPr>
      <w:rPr>
        <w:rFonts w:ascii="Wingdings" w:hAnsi="Wingdings" w:hint="default"/>
      </w:rPr>
    </w:lvl>
    <w:lvl w:ilvl="1" w:tplc="040C0003">
      <w:start w:val="1"/>
      <w:numFmt w:val="bullet"/>
      <w:lvlText w:val="o"/>
      <w:lvlJc w:val="left"/>
      <w:pPr>
        <w:ind w:left="3204" w:hanging="360"/>
      </w:pPr>
      <w:rPr>
        <w:rFonts w:ascii="Courier New" w:hAnsi="Courier New" w:cs="Courier New" w:hint="default"/>
      </w:rPr>
    </w:lvl>
    <w:lvl w:ilvl="2" w:tplc="040C0005">
      <w:start w:val="1"/>
      <w:numFmt w:val="bullet"/>
      <w:lvlText w:val=""/>
      <w:lvlJc w:val="left"/>
      <w:pPr>
        <w:ind w:left="3924" w:hanging="360"/>
      </w:pPr>
      <w:rPr>
        <w:rFonts w:ascii="Wingdings" w:hAnsi="Wingdings" w:hint="default"/>
      </w:rPr>
    </w:lvl>
    <w:lvl w:ilvl="3" w:tplc="040C0001">
      <w:start w:val="1"/>
      <w:numFmt w:val="bullet"/>
      <w:lvlText w:val=""/>
      <w:lvlJc w:val="left"/>
      <w:pPr>
        <w:ind w:left="4644" w:hanging="360"/>
      </w:pPr>
      <w:rPr>
        <w:rFonts w:ascii="Symbol" w:hAnsi="Symbol" w:hint="default"/>
      </w:rPr>
    </w:lvl>
    <w:lvl w:ilvl="4" w:tplc="040C0003">
      <w:start w:val="1"/>
      <w:numFmt w:val="bullet"/>
      <w:lvlText w:val="o"/>
      <w:lvlJc w:val="left"/>
      <w:pPr>
        <w:ind w:left="5364" w:hanging="360"/>
      </w:pPr>
      <w:rPr>
        <w:rFonts w:ascii="Courier New" w:hAnsi="Courier New" w:cs="Courier New" w:hint="default"/>
      </w:rPr>
    </w:lvl>
    <w:lvl w:ilvl="5" w:tplc="040C0005">
      <w:start w:val="1"/>
      <w:numFmt w:val="bullet"/>
      <w:lvlText w:val=""/>
      <w:lvlJc w:val="left"/>
      <w:pPr>
        <w:ind w:left="6084" w:hanging="360"/>
      </w:pPr>
      <w:rPr>
        <w:rFonts w:ascii="Wingdings" w:hAnsi="Wingdings" w:hint="default"/>
      </w:rPr>
    </w:lvl>
    <w:lvl w:ilvl="6" w:tplc="040C0001">
      <w:start w:val="1"/>
      <w:numFmt w:val="bullet"/>
      <w:lvlText w:val=""/>
      <w:lvlJc w:val="left"/>
      <w:pPr>
        <w:ind w:left="6804" w:hanging="360"/>
      </w:pPr>
      <w:rPr>
        <w:rFonts w:ascii="Symbol" w:hAnsi="Symbol" w:hint="default"/>
      </w:rPr>
    </w:lvl>
    <w:lvl w:ilvl="7" w:tplc="040C0003">
      <w:start w:val="1"/>
      <w:numFmt w:val="bullet"/>
      <w:lvlText w:val="o"/>
      <w:lvlJc w:val="left"/>
      <w:pPr>
        <w:ind w:left="7524" w:hanging="360"/>
      </w:pPr>
      <w:rPr>
        <w:rFonts w:ascii="Courier New" w:hAnsi="Courier New" w:cs="Courier New" w:hint="default"/>
      </w:rPr>
    </w:lvl>
    <w:lvl w:ilvl="8" w:tplc="040C0005">
      <w:start w:val="1"/>
      <w:numFmt w:val="bullet"/>
      <w:lvlText w:val=""/>
      <w:lvlJc w:val="left"/>
      <w:pPr>
        <w:ind w:left="8244" w:hanging="360"/>
      </w:pPr>
      <w:rPr>
        <w:rFonts w:ascii="Wingdings" w:hAnsi="Wingdings" w:hint="default"/>
      </w:rPr>
    </w:lvl>
  </w:abstractNum>
  <w:abstractNum w:abstractNumId="2">
    <w:nsid w:val="2CB838A6"/>
    <w:multiLevelType w:val="hybridMultilevel"/>
    <w:tmpl w:val="E156598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D63742F"/>
    <w:multiLevelType w:val="hybridMultilevel"/>
    <w:tmpl w:val="07443750"/>
    <w:lvl w:ilvl="0" w:tplc="040C000D">
      <w:start w:val="1"/>
      <w:numFmt w:val="bullet"/>
      <w:lvlText w:val=""/>
      <w:lvlJc w:val="left"/>
      <w:pPr>
        <w:ind w:left="2484" w:hanging="360"/>
      </w:pPr>
      <w:rPr>
        <w:rFonts w:ascii="Wingdings" w:hAnsi="Wingdings" w:hint="default"/>
      </w:rPr>
    </w:lvl>
    <w:lvl w:ilvl="1" w:tplc="040C0003">
      <w:start w:val="1"/>
      <w:numFmt w:val="bullet"/>
      <w:lvlText w:val="o"/>
      <w:lvlJc w:val="left"/>
      <w:pPr>
        <w:ind w:left="3204" w:hanging="360"/>
      </w:pPr>
      <w:rPr>
        <w:rFonts w:ascii="Courier New" w:hAnsi="Courier New" w:cs="Courier New" w:hint="default"/>
      </w:rPr>
    </w:lvl>
    <w:lvl w:ilvl="2" w:tplc="040C0005">
      <w:start w:val="1"/>
      <w:numFmt w:val="bullet"/>
      <w:lvlText w:val=""/>
      <w:lvlJc w:val="left"/>
      <w:pPr>
        <w:ind w:left="3924" w:hanging="360"/>
      </w:pPr>
      <w:rPr>
        <w:rFonts w:ascii="Wingdings" w:hAnsi="Wingdings" w:hint="default"/>
      </w:rPr>
    </w:lvl>
    <w:lvl w:ilvl="3" w:tplc="040C0001">
      <w:start w:val="1"/>
      <w:numFmt w:val="bullet"/>
      <w:lvlText w:val=""/>
      <w:lvlJc w:val="left"/>
      <w:pPr>
        <w:ind w:left="4644" w:hanging="360"/>
      </w:pPr>
      <w:rPr>
        <w:rFonts w:ascii="Symbol" w:hAnsi="Symbol" w:hint="default"/>
      </w:rPr>
    </w:lvl>
    <w:lvl w:ilvl="4" w:tplc="040C0003">
      <w:start w:val="1"/>
      <w:numFmt w:val="bullet"/>
      <w:lvlText w:val="o"/>
      <w:lvlJc w:val="left"/>
      <w:pPr>
        <w:ind w:left="5364" w:hanging="360"/>
      </w:pPr>
      <w:rPr>
        <w:rFonts w:ascii="Courier New" w:hAnsi="Courier New" w:cs="Courier New" w:hint="default"/>
      </w:rPr>
    </w:lvl>
    <w:lvl w:ilvl="5" w:tplc="040C0005">
      <w:start w:val="1"/>
      <w:numFmt w:val="bullet"/>
      <w:lvlText w:val=""/>
      <w:lvlJc w:val="left"/>
      <w:pPr>
        <w:ind w:left="6084" w:hanging="360"/>
      </w:pPr>
      <w:rPr>
        <w:rFonts w:ascii="Wingdings" w:hAnsi="Wingdings" w:hint="default"/>
      </w:rPr>
    </w:lvl>
    <w:lvl w:ilvl="6" w:tplc="040C0001">
      <w:start w:val="1"/>
      <w:numFmt w:val="bullet"/>
      <w:lvlText w:val=""/>
      <w:lvlJc w:val="left"/>
      <w:pPr>
        <w:ind w:left="6804" w:hanging="360"/>
      </w:pPr>
      <w:rPr>
        <w:rFonts w:ascii="Symbol" w:hAnsi="Symbol" w:hint="default"/>
      </w:rPr>
    </w:lvl>
    <w:lvl w:ilvl="7" w:tplc="040C0003">
      <w:start w:val="1"/>
      <w:numFmt w:val="bullet"/>
      <w:lvlText w:val="o"/>
      <w:lvlJc w:val="left"/>
      <w:pPr>
        <w:ind w:left="7524" w:hanging="360"/>
      </w:pPr>
      <w:rPr>
        <w:rFonts w:ascii="Courier New" w:hAnsi="Courier New" w:cs="Courier New" w:hint="default"/>
      </w:rPr>
    </w:lvl>
    <w:lvl w:ilvl="8" w:tplc="040C0005">
      <w:start w:val="1"/>
      <w:numFmt w:val="bullet"/>
      <w:lvlText w:val=""/>
      <w:lvlJc w:val="left"/>
      <w:pPr>
        <w:ind w:left="8244" w:hanging="360"/>
      </w:pPr>
      <w:rPr>
        <w:rFonts w:ascii="Wingdings" w:hAnsi="Wingdings" w:hint="default"/>
      </w:rPr>
    </w:lvl>
  </w:abstractNum>
  <w:abstractNum w:abstractNumId="4">
    <w:nsid w:val="31937FCA"/>
    <w:multiLevelType w:val="hybridMultilevel"/>
    <w:tmpl w:val="912CC8E2"/>
    <w:lvl w:ilvl="0" w:tplc="040C000B">
      <w:start w:val="1"/>
      <w:numFmt w:val="bullet"/>
      <w:lvlText w:val=""/>
      <w:lvlJc w:val="left"/>
      <w:pPr>
        <w:ind w:left="660" w:hanging="360"/>
      </w:pPr>
      <w:rPr>
        <w:rFonts w:ascii="Wingdings" w:hAnsi="Wingdings" w:hint="default"/>
      </w:rPr>
    </w:lvl>
    <w:lvl w:ilvl="1" w:tplc="040C0003">
      <w:start w:val="1"/>
      <w:numFmt w:val="bullet"/>
      <w:lvlText w:val="o"/>
      <w:lvlJc w:val="left"/>
      <w:pPr>
        <w:ind w:left="1380" w:hanging="360"/>
      </w:pPr>
      <w:rPr>
        <w:rFonts w:ascii="Courier New" w:hAnsi="Courier New" w:cs="Courier New" w:hint="default"/>
      </w:rPr>
    </w:lvl>
    <w:lvl w:ilvl="2" w:tplc="040C0005">
      <w:start w:val="1"/>
      <w:numFmt w:val="bullet"/>
      <w:lvlText w:val=""/>
      <w:lvlJc w:val="left"/>
      <w:pPr>
        <w:ind w:left="2100" w:hanging="360"/>
      </w:pPr>
      <w:rPr>
        <w:rFonts w:ascii="Wingdings" w:hAnsi="Wingdings" w:hint="default"/>
      </w:rPr>
    </w:lvl>
    <w:lvl w:ilvl="3" w:tplc="040C0001">
      <w:start w:val="1"/>
      <w:numFmt w:val="bullet"/>
      <w:lvlText w:val=""/>
      <w:lvlJc w:val="left"/>
      <w:pPr>
        <w:ind w:left="2820" w:hanging="360"/>
      </w:pPr>
      <w:rPr>
        <w:rFonts w:ascii="Symbol" w:hAnsi="Symbol" w:hint="default"/>
      </w:rPr>
    </w:lvl>
    <w:lvl w:ilvl="4" w:tplc="040C0003">
      <w:start w:val="1"/>
      <w:numFmt w:val="bullet"/>
      <w:lvlText w:val="o"/>
      <w:lvlJc w:val="left"/>
      <w:pPr>
        <w:ind w:left="3540" w:hanging="360"/>
      </w:pPr>
      <w:rPr>
        <w:rFonts w:ascii="Courier New" w:hAnsi="Courier New" w:cs="Courier New" w:hint="default"/>
      </w:rPr>
    </w:lvl>
    <w:lvl w:ilvl="5" w:tplc="040C0005">
      <w:start w:val="1"/>
      <w:numFmt w:val="bullet"/>
      <w:lvlText w:val=""/>
      <w:lvlJc w:val="left"/>
      <w:pPr>
        <w:ind w:left="4260" w:hanging="360"/>
      </w:pPr>
      <w:rPr>
        <w:rFonts w:ascii="Wingdings" w:hAnsi="Wingdings" w:hint="default"/>
      </w:rPr>
    </w:lvl>
    <w:lvl w:ilvl="6" w:tplc="040C0001">
      <w:start w:val="1"/>
      <w:numFmt w:val="bullet"/>
      <w:lvlText w:val=""/>
      <w:lvlJc w:val="left"/>
      <w:pPr>
        <w:ind w:left="4980" w:hanging="360"/>
      </w:pPr>
      <w:rPr>
        <w:rFonts w:ascii="Symbol" w:hAnsi="Symbol" w:hint="default"/>
      </w:rPr>
    </w:lvl>
    <w:lvl w:ilvl="7" w:tplc="040C0003">
      <w:start w:val="1"/>
      <w:numFmt w:val="bullet"/>
      <w:lvlText w:val="o"/>
      <w:lvlJc w:val="left"/>
      <w:pPr>
        <w:ind w:left="5700" w:hanging="360"/>
      </w:pPr>
      <w:rPr>
        <w:rFonts w:ascii="Courier New" w:hAnsi="Courier New" w:cs="Courier New" w:hint="default"/>
      </w:rPr>
    </w:lvl>
    <w:lvl w:ilvl="8" w:tplc="040C0005">
      <w:start w:val="1"/>
      <w:numFmt w:val="bullet"/>
      <w:lvlText w:val=""/>
      <w:lvlJc w:val="left"/>
      <w:pPr>
        <w:ind w:left="6420" w:hanging="360"/>
      </w:pPr>
      <w:rPr>
        <w:rFonts w:ascii="Wingdings" w:hAnsi="Wingdings" w:hint="default"/>
      </w:rPr>
    </w:lvl>
  </w:abstractNum>
  <w:abstractNum w:abstractNumId="5">
    <w:nsid w:val="35577779"/>
    <w:multiLevelType w:val="hybridMultilevel"/>
    <w:tmpl w:val="7A8A60AC"/>
    <w:lvl w:ilvl="0" w:tplc="5636A612">
      <w:start w:val="101"/>
      <w:numFmt w:val="bullet"/>
      <w:lvlText w:val="-"/>
      <w:lvlJc w:val="left"/>
      <w:pPr>
        <w:ind w:left="540" w:hanging="360"/>
      </w:pPr>
      <w:rPr>
        <w:rFonts w:ascii="Times New Roman" w:eastAsia="Calibri" w:hAnsi="Times New Roman" w:cs="Times New Roman" w:hint="default"/>
      </w:rPr>
    </w:lvl>
    <w:lvl w:ilvl="1" w:tplc="040C0003">
      <w:start w:val="1"/>
      <w:numFmt w:val="bullet"/>
      <w:lvlText w:val="o"/>
      <w:lvlJc w:val="left"/>
      <w:pPr>
        <w:ind w:left="1260" w:hanging="360"/>
      </w:pPr>
      <w:rPr>
        <w:rFonts w:ascii="Courier New" w:hAnsi="Courier New" w:cs="Courier New" w:hint="default"/>
      </w:rPr>
    </w:lvl>
    <w:lvl w:ilvl="2" w:tplc="040C0005">
      <w:start w:val="1"/>
      <w:numFmt w:val="bullet"/>
      <w:lvlText w:val=""/>
      <w:lvlJc w:val="left"/>
      <w:pPr>
        <w:ind w:left="1980" w:hanging="360"/>
      </w:pPr>
      <w:rPr>
        <w:rFonts w:ascii="Wingdings" w:hAnsi="Wingdings" w:hint="default"/>
      </w:rPr>
    </w:lvl>
    <w:lvl w:ilvl="3" w:tplc="040C0001">
      <w:start w:val="1"/>
      <w:numFmt w:val="bullet"/>
      <w:lvlText w:val=""/>
      <w:lvlJc w:val="left"/>
      <w:pPr>
        <w:ind w:left="2700" w:hanging="360"/>
      </w:pPr>
      <w:rPr>
        <w:rFonts w:ascii="Symbol" w:hAnsi="Symbol" w:hint="default"/>
      </w:rPr>
    </w:lvl>
    <w:lvl w:ilvl="4" w:tplc="040C0003">
      <w:start w:val="1"/>
      <w:numFmt w:val="bullet"/>
      <w:lvlText w:val="o"/>
      <w:lvlJc w:val="left"/>
      <w:pPr>
        <w:ind w:left="3420" w:hanging="360"/>
      </w:pPr>
      <w:rPr>
        <w:rFonts w:ascii="Courier New" w:hAnsi="Courier New" w:cs="Courier New" w:hint="default"/>
      </w:rPr>
    </w:lvl>
    <w:lvl w:ilvl="5" w:tplc="040C0005">
      <w:start w:val="1"/>
      <w:numFmt w:val="bullet"/>
      <w:lvlText w:val=""/>
      <w:lvlJc w:val="left"/>
      <w:pPr>
        <w:ind w:left="4140" w:hanging="360"/>
      </w:pPr>
      <w:rPr>
        <w:rFonts w:ascii="Wingdings" w:hAnsi="Wingdings" w:hint="default"/>
      </w:rPr>
    </w:lvl>
    <w:lvl w:ilvl="6" w:tplc="040C0001">
      <w:start w:val="1"/>
      <w:numFmt w:val="bullet"/>
      <w:lvlText w:val=""/>
      <w:lvlJc w:val="left"/>
      <w:pPr>
        <w:ind w:left="4860" w:hanging="360"/>
      </w:pPr>
      <w:rPr>
        <w:rFonts w:ascii="Symbol" w:hAnsi="Symbol" w:hint="default"/>
      </w:rPr>
    </w:lvl>
    <w:lvl w:ilvl="7" w:tplc="040C0003">
      <w:start w:val="1"/>
      <w:numFmt w:val="bullet"/>
      <w:lvlText w:val="o"/>
      <w:lvlJc w:val="left"/>
      <w:pPr>
        <w:ind w:left="5580" w:hanging="360"/>
      </w:pPr>
      <w:rPr>
        <w:rFonts w:ascii="Courier New" w:hAnsi="Courier New" w:cs="Courier New" w:hint="default"/>
      </w:rPr>
    </w:lvl>
    <w:lvl w:ilvl="8" w:tplc="040C0005">
      <w:start w:val="1"/>
      <w:numFmt w:val="bullet"/>
      <w:lvlText w:val=""/>
      <w:lvlJc w:val="left"/>
      <w:pPr>
        <w:ind w:left="6300" w:hanging="360"/>
      </w:pPr>
      <w:rPr>
        <w:rFonts w:ascii="Wingdings" w:hAnsi="Wingdings" w:hint="default"/>
      </w:rPr>
    </w:lvl>
  </w:abstractNum>
  <w:abstractNum w:abstractNumId="6">
    <w:nsid w:val="36DB27C3"/>
    <w:multiLevelType w:val="hybridMultilevel"/>
    <w:tmpl w:val="60FAABDC"/>
    <w:lvl w:ilvl="0" w:tplc="040C000B">
      <w:start w:val="1"/>
      <w:numFmt w:val="bullet"/>
      <w:lvlText w:val=""/>
      <w:lvlJc w:val="left"/>
      <w:pPr>
        <w:ind w:left="600" w:hanging="360"/>
      </w:pPr>
      <w:rPr>
        <w:rFonts w:ascii="Wingdings" w:hAnsi="Wingdings" w:hint="default"/>
      </w:rPr>
    </w:lvl>
    <w:lvl w:ilvl="1" w:tplc="040C0003">
      <w:start w:val="1"/>
      <w:numFmt w:val="bullet"/>
      <w:lvlText w:val="o"/>
      <w:lvlJc w:val="left"/>
      <w:pPr>
        <w:ind w:left="1320" w:hanging="360"/>
      </w:pPr>
      <w:rPr>
        <w:rFonts w:ascii="Courier New" w:hAnsi="Courier New" w:cs="Courier New" w:hint="default"/>
      </w:rPr>
    </w:lvl>
    <w:lvl w:ilvl="2" w:tplc="040C0005">
      <w:start w:val="1"/>
      <w:numFmt w:val="bullet"/>
      <w:lvlText w:val=""/>
      <w:lvlJc w:val="left"/>
      <w:pPr>
        <w:ind w:left="2040" w:hanging="360"/>
      </w:pPr>
      <w:rPr>
        <w:rFonts w:ascii="Wingdings" w:hAnsi="Wingdings" w:hint="default"/>
      </w:rPr>
    </w:lvl>
    <w:lvl w:ilvl="3" w:tplc="040C0001">
      <w:start w:val="1"/>
      <w:numFmt w:val="bullet"/>
      <w:lvlText w:val=""/>
      <w:lvlJc w:val="left"/>
      <w:pPr>
        <w:ind w:left="2760" w:hanging="360"/>
      </w:pPr>
      <w:rPr>
        <w:rFonts w:ascii="Symbol" w:hAnsi="Symbol" w:hint="default"/>
      </w:rPr>
    </w:lvl>
    <w:lvl w:ilvl="4" w:tplc="040C0003">
      <w:start w:val="1"/>
      <w:numFmt w:val="bullet"/>
      <w:lvlText w:val="o"/>
      <w:lvlJc w:val="left"/>
      <w:pPr>
        <w:ind w:left="3480" w:hanging="360"/>
      </w:pPr>
      <w:rPr>
        <w:rFonts w:ascii="Courier New" w:hAnsi="Courier New" w:cs="Courier New" w:hint="default"/>
      </w:rPr>
    </w:lvl>
    <w:lvl w:ilvl="5" w:tplc="040C0005">
      <w:start w:val="1"/>
      <w:numFmt w:val="bullet"/>
      <w:lvlText w:val=""/>
      <w:lvlJc w:val="left"/>
      <w:pPr>
        <w:ind w:left="4200" w:hanging="360"/>
      </w:pPr>
      <w:rPr>
        <w:rFonts w:ascii="Wingdings" w:hAnsi="Wingdings" w:hint="default"/>
      </w:rPr>
    </w:lvl>
    <w:lvl w:ilvl="6" w:tplc="040C0001">
      <w:start w:val="1"/>
      <w:numFmt w:val="bullet"/>
      <w:lvlText w:val=""/>
      <w:lvlJc w:val="left"/>
      <w:pPr>
        <w:ind w:left="4920" w:hanging="360"/>
      </w:pPr>
      <w:rPr>
        <w:rFonts w:ascii="Symbol" w:hAnsi="Symbol" w:hint="default"/>
      </w:rPr>
    </w:lvl>
    <w:lvl w:ilvl="7" w:tplc="040C0003">
      <w:start w:val="1"/>
      <w:numFmt w:val="bullet"/>
      <w:lvlText w:val="o"/>
      <w:lvlJc w:val="left"/>
      <w:pPr>
        <w:ind w:left="5640" w:hanging="360"/>
      </w:pPr>
      <w:rPr>
        <w:rFonts w:ascii="Courier New" w:hAnsi="Courier New" w:cs="Courier New" w:hint="default"/>
      </w:rPr>
    </w:lvl>
    <w:lvl w:ilvl="8" w:tplc="040C0005">
      <w:start w:val="1"/>
      <w:numFmt w:val="bullet"/>
      <w:lvlText w:val=""/>
      <w:lvlJc w:val="left"/>
      <w:pPr>
        <w:ind w:left="6360" w:hanging="360"/>
      </w:pPr>
      <w:rPr>
        <w:rFonts w:ascii="Wingdings" w:hAnsi="Wingdings" w:hint="default"/>
      </w:rPr>
    </w:lvl>
  </w:abstractNum>
  <w:abstractNum w:abstractNumId="7">
    <w:nsid w:val="392B606F"/>
    <w:multiLevelType w:val="hybridMultilevel"/>
    <w:tmpl w:val="A22E2A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59229C"/>
    <w:multiLevelType w:val="hybridMultilevel"/>
    <w:tmpl w:val="CBB462B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437F11C7"/>
    <w:multiLevelType w:val="hybridMultilevel"/>
    <w:tmpl w:val="8E3E4DCC"/>
    <w:lvl w:ilvl="0" w:tplc="CBEE212A">
      <w:start w:val="9"/>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4B511DE0"/>
    <w:multiLevelType w:val="hybridMultilevel"/>
    <w:tmpl w:val="8890822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52123DD1"/>
    <w:multiLevelType w:val="hybridMultilevel"/>
    <w:tmpl w:val="E7ECECEC"/>
    <w:lvl w:ilvl="0" w:tplc="3230DEA4">
      <w:numFmt w:val="bullet"/>
      <w:lvlText w:val="-"/>
      <w:lvlJc w:val="left"/>
      <w:pPr>
        <w:ind w:left="540" w:hanging="360"/>
      </w:pPr>
      <w:rPr>
        <w:rFonts w:ascii="Times New Roman" w:eastAsiaTheme="minorHAnsi" w:hAnsi="Times New Roman" w:cs="Times New Roman"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2">
    <w:nsid w:val="712851FF"/>
    <w:multiLevelType w:val="hybridMultilevel"/>
    <w:tmpl w:val="C21E7A2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7213016A"/>
    <w:multiLevelType w:val="hybridMultilevel"/>
    <w:tmpl w:val="F3D84DF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77927EC2"/>
    <w:multiLevelType w:val="hybridMultilevel"/>
    <w:tmpl w:val="3B72EABC"/>
    <w:lvl w:ilvl="0" w:tplc="040C000D">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5">
    <w:nsid w:val="7BF8383A"/>
    <w:multiLevelType w:val="multilevel"/>
    <w:tmpl w:val="AA54F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13"/>
  </w:num>
  <w:num w:numId="4">
    <w:abstractNumId w:val="0"/>
  </w:num>
  <w:num w:numId="5">
    <w:abstractNumId w:val="0"/>
  </w:num>
  <w:num w:numId="6">
    <w:abstractNumId w:val="12"/>
  </w:num>
  <w:num w:numId="7">
    <w:abstractNumId w:val="13"/>
  </w:num>
  <w:num w:numId="8">
    <w:abstractNumId w:val="7"/>
  </w:num>
  <w:num w:numId="9">
    <w:abstractNumId w:val="11"/>
  </w:num>
  <w:num w:numId="10">
    <w:abstractNumId w:val="15"/>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4"/>
  </w:num>
  <w:num w:numId="14">
    <w:abstractNumId w:val="14"/>
  </w:num>
  <w:num w:numId="15">
    <w:abstractNumId w:val="8"/>
  </w:num>
  <w:num w:numId="16">
    <w:abstractNumId w:val="10"/>
  </w:num>
  <w:num w:numId="17">
    <w:abstractNumId w:val="6"/>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22"/>
    <w:rsid w:val="001F4322"/>
    <w:rsid w:val="003946EB"/>
    <w:rsid w:val="003955EF"/>
    <w:rsid w:val="003B5291"/>
    <w:rsid w:val="004368EA"/>
    <w:rsid w:val="004A798F"/>
    <w:rsid w:val="00551612"/>
    <w:rsid w:val="005633D7"/>
    <w:rsid w:val="005E3B19"/>
    <w:rsid w:val="00751211"/>
    <w:rsid w:val="007F453A"/>
    <w:rsid w:val="008C0ABA"/>
    <w:rsid w:val="009178C5"/>
    <w:rsid w:val="00995646"/>
    <w:rsid w:val="00AB3B75"/>
    <w:rsid w:val="00BC1B19"/>
    <w:rsid w:val="00C0050F"/>
    <w:rsid w:val="00C42229"/>
    <w:rsid w:val="00C43A13"/>
    <w:rsid w:val="00CC61EB"/>
    <w:rsid w:val="00E33E50"/>
    <w:rsid w:val="00E35F25"/>
    <w:rsid w:val="00E62C26"/>
    <w:rsid w:val="00EC087D"/>
    <w:rsid w:val="00FA66AA"/>
    <w:rsid w:val="00FB62B6"/>
    <w:rsid w:val="00FF6360"/>
    <w:rsid w:val="11A10C87"/>
    <w:rsid w:val="12C3F1D3"/>
    <w:rsid w:val="152ACA7A"/>
    <w:rsid w:val="19987FD9"/>
    <w:rsid w:val="3B686721"/>
    <w:rsid w:val="41F2E4DE"/>
    <w:rsid w:val="43DB2085"/>
    <w:rsid w:val="4E670C07"/>
    <w:rsid w:val="55E890F4"/>
    <w:rsid w:val="575B84C2"/>
    <w:rsid w:val="5B8CB06E"/>
    <w:rsid w:val="61336FA0"/>
    <w:rsid w:val="6A44D60A"/>
    <w:rsid w:val="74918645"/>
    <w:rsid w:val="7A6E581D"/>
    <w:rsid w:val="7E8FB4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3B19"/>
    <w:pPr>
      <w:tabs>
        <w:tab w:val="center" w:pos="4536"/>
        <w:tab w:val="right" w:pos="9072"/>
      </w:tabs>
    </w:pPr>
  </w:style>
  <w:style w:type="character" w:customStyle="1" w:styleId="En-tteCar">
    <w:name w:val="En-tête Car"/>
    <w:basedOn w:val="Policepardfaut"/>
    <w:link w:val="En-tte"/>
    <w:uiPriority w:val="99"/>
    <w:rsid w:val="005E3B19"/>
  </w:style>
  <w:style w:type="paragraph" w:styleId="Pieddepage">
    <w:name w:val="footer"/>
    <w:basedOn w:val="Normal"/>
    <w:link w:val="PieddepageCar"/>
    <w:uiPriority w:val="99"/>
    <w:unhideWhenUsed/>
    <w:rsid w:val="005E3B19"/>
    <w:pPr>
      <w:tabs>
        <w:tab w:val="center" w:pos="4536"/>
        <w:tab w:val="right" w:pos="9072"/>
      </w:tabs>
    </w:pPr>
  </w:style>
  <w:style w:type="character" w:customStyle="1" w:styleId="PieddepageCar">
    <w:name w:val="Pied de page Car"/>
    <w:basedOn w:val="Policepardfaut"/>
    <w:link w:val="Pieddepage"/>
    <w:uiPriority w:val="99"/>
    <w:rsid w:val="005E3B19"/>
  </w:style>
  <w:style w:type="character" w:styleId="Lienhypertexte">
    <w:name w:val="Hyperlink"/>
    <w:basedOn w:val="Policepardfaut"/>
    <w:uiPriority w:val="99"/>
    <w:unhideWhenUsed/>
    <w:rsid w:val="004368EA"/>
    <w:rPr>
      <w:color w:val="0000FF" w:themeColor="hyperlink"/>
      <w:u w:val="single"/>
    </w:rPr>
  </w:style>
  <w:style w:type="character" w:styleId="Lienhypertextesuivivisit">
    <w:name w:val="FollowedHyperlink"/>
    <w:basedOn w:val="Policepardfaut"/>
    <w:uiPriority w:val="99"/>
    <w:semiHidden/>
    <w:unhideWhenUsed/>
    <w:rsid w:val="004368EA"/>
    <w:rPr>
      <w:color w:val="800080" w:themeColor="followedHyperlink"/>
      <w:u w:val="single"/>
    </w:rPr>
  </w:style>
  <w:style w:type="character" w:customStyle="1" w:styleId="ContenuGRASCar">
    <w:name w:val="Contenu GRAS Car"/>
    <w:link w:val="ContenuGRAS"/>
    <w:locked/>
    <w:rsid w:val="00BC1B19"/>
    <w:rPr>
      <w:rFonts w:ascii="Arial" w:hAnsi="Arial" w:cs="Arial"/>
      <w:b/>
      <w:color w:val="3C3732"/>
      <w:szCs w:val="24"/>
    </w:rPr>
  </w:style>
  <w:style w:type="paragraph" w:customStyle="1" w:styleId="ContenuGRAS">
    <w:name w:val="Contenu GRAS"/>
    <w:basedOn w:val="Normal"/>
    <w:link w:val="ContenuGRASCar"/>
    <w:qFormat/>
    <w:rsid w:val="00BC1B19"/>
    <w:pPr>
      <w:ind w:left="284"/>
      <w:jc w:val="both"/>
    </w:pPr>
    <w:rPr>
      <w:rFonts w:ascii="Arial" w:hAnsi="Arial" w:cs="Arial"/>
      <w:b/>
      <w:color w:val="3C3732"/>
      <w:szCs w:val="24"/>
    </w:rPr>
  </w:style>
  <w:style w:type="character" w:customStyle="1" w:styleId="SourceCar">
    <w:name w:val="Source Car"/>
    <w:link w:val="Source"/>
    <w:locked/>
    <w:rsid w:val="00BC1B19"/>
    <w:rPr>
      <w:rFonts w:ascii="Arial" w:hAnsi="Arial" w:cs="Arial"/>
      <w:i/>
      <w:color w:val="3C3732"/>
      <w:szCs w:val="24"/>
    </w:rPr>
  </w:style>
  <w:style w:type="paragraph" w:customStyle="1" w:styleId="Source">
    <w:name w:val="Source"/>
    <w:basedOn w:val="Normal"/>
    <w:link w:val="SourceCar"/>
    <w:qFormat/>
    <w:rsid w:val="00BC1B19"/>
    <w:pPr>
      <w:jc w:val="both"/>
    </w:pPr>
    <w:rPr>
      <w:rFonts w:ascii="Arial" w:hAnsi="Arial" w:cs="Arial"/>
      <w:i/>
      <w:color w:val="3C3732"/>
      <w:szCs w:val="24"/>
    </w:rPr>
  </w:style>
  <w:style w:type="paragraph" w:styleId="Paragraphedeliste">
    <w:name w:val="List Paragraph"/>
    <w:basedOn w:val="Normal"/>
    <w:uiPriority w:val="34"/>
    <w:qFormat/>
    <w:rsid w:val="007F45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3B19"/>
    <w:pPr>
      <w:tabs>
        <w:tab w:val="center" w:pos="4536"/>
        <w:tab w:val="right" w:pos="9072"/>
      </w:tabs>
    </w:pPr>
  </w:style>
  <w:style w:type="character" w:customStyle="1" w:styleId="En-tteCar">
    <w:name w:val="En-tête Car"/>
    <w:basedOn w:val="Policepardfaut"/>
    <w:link w:val="En-tte"/>
    <w:uiPriority w:val="99"/>
    <w:rsid w:val="005E3B19"/>
  </w:style>
  <w:style w:type="paragraph" w:styleId="Pieddepage">
    <w:name w:val="footer"/>
    <w:basedOn w:val="Normal"/>
    <w:link w:val="PieddepageCar"/>
    <w:uiPriority w:val="99"/>
    <w:unhideWhenUsed/>
    <w:rsid w:val="005E3B19"/>
    <w:pPr>
      <w:tabs>
        <w:tab w:val="center" w:pos="4536"/>
        <w:tab w:val="right" w:pos="9072"/>
      </w:tabs>
    </w:pPr>
  </w:style>
  <w:style w:type="character" w:customStyle="1" w:styleId="PieddepageCar">
    <w:name w:val="Pied de page Car"/>
    <w:basedOn w:val="Policepardfaut"/>
    <w:link w:val="Pieddepage"/>
    <w:uiPriority w:val="99"/>
    <w:rsid w:val="005E3B19"/>
  </w:style>
  <w:style w:type="character" w:styleId="Lienhypertexte">
    <w:name w:val="Hyperlink"/>
    <w:basedOn w:val="Policepardfaut"/>
    <w:uiPriority w:val="99"/>
    <w:unhideWhenUsed/>
    <w:rsid w:val="004368EA"/>
    <w:rPr>
      <w:color w:val="0000FF" w:themeColor="hyperlink"/>
      <w:u w:val="single"/>
    </w:rPr>
  </w:style>
  <w:style w:type="character" w:styleId="Lienhypertextesuivivisit">
    <w:name w:val="FollowedHyperlink"/>
    <w:basedOn w:val="Policepardfaut"/>
    <w:uiPriority w:val="99"/>
    <w:semiHidden/>
    <w:unhideWhenUsed/>
    <w:rsid w:val="004368EA"/>
    <w:rPr>
      <w:color w:val="800080" w:themeColor="followedHyperlink"/>
      <w:u w:val="single"/>
    </w:rPr>
  </w:style>
  <w:style w:type="character" w:customStyle="1" w:styleId="ContenuGRASCar">
    <w:name w:val="Contenu GRAS Car"/>
    <w:link w:val="ContenuGRAS"/>
    <w:locked/>
    <w:rsid w:val="00BC1B19"/>
    <w:rPr>
      <w:rFonts w:ascii="Arial" w:hAnsi="Arial" w:cs="Arial"/>
      <w:b/>
      <w:color w:val="3C3732"/>
      <w:szCs w:val="24"/>
    </w:rPr>
  </w:style>
  <w:style w:type="paragraph" w:customStyle="1" w:styleId="ContenuGRAS">
    <w:name w:val="Contenu GRAS"/>
    <w:basedOn w:val="Normal"/>
    <w:link w:val="ContenuGRASCar"/>
    <w:qFormat/>
    <w:rsid w:val="00BC1B19"/>
    <w:pPr>
      <w:ind w:left="284"/>
      <w:jc w:val="both"/>
    </w:pPr>
    <w:rPr>
      <w:rFonts w:ascii="Arial" w:hAnsi="Arial" w:cs="Arial"/>
      <w:b/>
      <w:color w:val="3C3732"/>
      <w:szCs w:val="24"/>
    </w:rPr>
  </w:style>
  <w:style w:type="character" w:customStyle="1" w:styleId="SourceCar">
    <w:name w:val="Source Car"/>
    <w:link w:val="Source"/>
    <w:locked/>
    <w:rsid w:val="00BC1B19"/>
    <w:rPr>
      <w:rFonts w:ascii="Arial" w:hAnsi="Arial" w:cs="Arial"/>
      <w:i/>
      <w:color w:val="3C3732"/>
      <w:szCs w:val="24"/>
    </w:rPr>
  </w:style>
  <w:style w:type="paragraph" w:customStyle="1" w:styleId="Source">
    <w:name w:val="Source"/>
    <w:basedOn w:val="Normal"/>
    <w:link w:val="SourceCar"/>
    <w:qFormat/>
    <w:rsid w:val="00BC1B19"/>
    <w:pPr>
      <w:jc w:val="both"/>
    </w:pPr>
    <w:rPr>
      <w:rFonts w:ascii="Arial" w:hAnsi="Arial" w:cs="Arial"/>
      <w:i/>
      <w:color w:val="3C3732"/>
      <w:szCs w:val="24"/>
    </w:rPr>
  </w:style>
  <w:style w:type="paragraph" w:styleId="Paragraphedeliste">
    <w:name w:val="List Paragraph"/>
    <w:basedOn w:val="Normal"/>
    <w:uiPriority w:val="34"/>
    <w:qFormat/>
    <w:rsid w:val="007F4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50290">
      <w:bodyDiv w:val="1"/>
      <w:marLeft w:val="0"/>
      <w:marRight w:val="0"/>
      <w:marTop w:val="0"/>
      <w:marBottom w:val="0"/>
      <w:divBdr>
        <w:top w:val="none" w:sz="0" w:space="0" w:color="auto"/>
        <w:left w:val="none" w:sz="0" w:space="0" w:color="auto"/>
        <w:bottom w:val="none" w:sz="0" w:space="0" w:color="auto"/>
        <w:right w:val="none" w:sz="0" w:space="0" w:color="auto"/>
      </w:divBdr>
    </w:div>
    <w:div w:id="212157397">
      <w:bodyDiv w:val="1"/>
      <w:marLeft w:val="0"/>
      <w:marRight w:val="0"/>
      <w:marTop w:val="0"/>
      <w:marBottom w:val="0"/>
      <w:divBdr>
        <w:top w:val="none" w:sz="0" w:space="0" w:color="auto"/>
        <w:left w:val="none" w:sz="0" w:space="0" w:color="auto"/>
        <w:bottom w:val="none" w:sz="0" w:space="0" w:color="auto"/>
        <w:right w:val="none" w:sz="0" w:space="0" w:color="auto"/>
      </w:divBdr>
    </w:div>
    <w:div w:id="219557038">
      <w:bodyDiv w:val="1"/>
      <w:marLeft w:val="0"/>
      <w:marRight w:val="0"/>
      <w:marTop w:val="0"/>
      <w:marBottom w:val="0"/>
      <w:divBdr>
        <w:top w:val="none" w:sz="0" w:space="0" w:color="auto"/>
        <w:left w:val="none" w:sz="0" w:space="0" w:color="auto"/>
        <w:bottom w:val="none" w:sz="0" w:space="0" w:color="auto"/>
        <w:right w:val="none" w:sz="0" w:space="0" w:color="auto"/>
      </w:divBdr>
    </w:div>
    <w:div w:id="1238051597">
      <w:bodyDiv w:val="1"/>
      <w:marLeft w:val="0"/>
      <w:marRight w:val="0"/>
      <w:marTop w:val="0"/>
      <w:marBottom w:val="0"/>
      <w:divBdr>
        <w:top w:val="none" w:sz="0" w:space="0" w:color="auto"/>
        <w:left w:val="none" w:sz="0" w:space="0" w:color="auto"/>
        <w:bottom w:val="none" w:sz="0" w:space="0" w:color="auto"/>
        <w:right w:val="none" w:sz="0" w:space="0" w:color="auto"/>
      </w:divBdr>
    </w:div>
    <w:div w:id="1983461455">
      <w:bodyDiv w:val="1"/>
      <w:marLeft w:val="0"/>
      <w:marRight w:val="0"/>
      <w:marTop w:val="0"/>
      <w:marBottom w:val="0"/>
      <w:divBdr>
        <w:top w:val="none" w:sz="0" w:space="0" w:color="auto"/>
        <w:left w:val="none" w:sz="0" w:space="0" w:color="auto"/>
        <w:bottom w:val="none" w:sz="0" w:space="0" w:color="auto"/>
        <w:right w:val="none" w:sz="0" w:space="0" w:color="auto"/>
      </w:divBdr>
      <w:divsChild>
        <w:div w:id="607277446">
          <w:marLeft w:val="0"/>
          <w:marRight w:val="0"/>
          <w:marTop w:val="0"/>
          <w:marBottom w:val="0"/>
          <w:divBdr>
            <w:top w:val="none" w:sz="0" w:space="0" w:color="auto"/>
            <w:left w:val="none" w:sz="0" w:space="0" w:color="auto"/>
            <w:bottom w:val="none" w:sz="0" w:space="0" w:color="auto"/>
            <w:right w:val="none" w:sz="0" w:space="0" w:color="auto"/>
          </w:divBdr>
        </w:div>
      </w:divsChild>
    </w:div>
    <w:div w:id="21318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3A4264F63FE241BB0CFD4AD1633D6D" ma:contentTypeVersion="7" ma:contentTypeDescription="Crée un document." ma:contentTypeScope="" ma:versionID="6ea484b1d53997fd89bfa38476a37a4d">
  <xsd:schema xmlns:xsd="http://www.w3.org/2001/XMLSchema" xmlns:xs="http://www.w3.org/2001/XMLSchema" xmlns:p="http://schemas.microsoft.com/office/2006/metadata/properties" xmlns:ns2="04c02bff-48bc-45e7-a183-3f728328cec5" targetNamespace="http://schemas.microsoft.com/office/2006/metadata/properties" ma:root="true" ma:fieldsID="1422b1b85186b7656a37af3ecc00fa32" ns2:_="">
    <xsd:import namespace="04c02bff-48bc-45e7-a183-3f728328ce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02bff-48bc-45e7-a183-3f728328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B3124-8BBA-4B92-A80E-E3246584F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c02bff-48bc-45e7-a183-3f728328c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8747B-FDDB-45E3-9D1E-0EE8B8367165}">
  <ds:schemaRefs>
    <ds:schemaRef ds:uri="http://schemas.microsoft.com/sharepoint/v3/contenttype/forms"/>
  </ds:schemaRefs>
</ds:datastoreItem>
</file>

<file path=customXml/itemProps3.xml><?xml version="1.0" encoding="utf-8"?>
<ds:datastoreItem xmlns:ds="http://schemas.openxmlformats.org/officeDocument/2006/customXml" ds:itemID="{A3A0B626-315E-4E21-84E2-A020FDF4DB49}">
  <ds:schemaRefs>
    <ds:schemaRef ds:uri="http://schemas.microsoft.com/office/2006/documentManagement/types"/>
    <ds:schemaRef ds:uri="http://www.w3.org/XML/1998/namespace"/>
    <ds:schemaRef ds:uri="http://schemas.microsoft.com/office/2006/metadata/properties"/>
    <ds:schemaRef ds:uri="http://purl.org/dc/terms/"/>
    <ds:schemaRef ds:uri="http://purl.org/dc/elements/1.1/"/>
    <ds:schemaRef ds:uri="http://purl.org/dc/dcmitype/"/>
    <ds:schemaRef ds:uri="http://schemas.openxmlformats.org/package/2006/metadata/core-properties"/>
    <ds:schemaRef ds:uri="http://schemas.microsoft.com/office/infopath/2007/PartnerControls"/>
    <ds:schemaRef ds:uri="04c02bff-48bc-45e7-a183-3f728328cec5"/>
  </ds:schemaRefs>
</ds:datastoreItem>
</file>

<file path=customXml/itemProps4.xml><?xml version="1.0" encoding="utf-8"?>
<ds:datastoreItem xmlns:ds="http://schemas.openxmlformats.org/officeDocument/2006/customXml" ds:itemID="{5935B86A-4CDD-4AD7-91B6-54A3E765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880</Words>
  <Characters>4840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7310456Y</dc:creator>
  <cp:lastModifiedBy>SZURLEJ ISABELLE</cp:lastModifiedBy>
  <cp:revision>2</cp:revision>
  <dcterms:created xsi:type="dcterms:W3CDTF">2020-07-09T08:29:00Z</dcterms:created>
  <dcterms:modified xsi:type="dcterms:W3CDTF">2020-07-09T08:29:00Z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0x010100333A4264F63FE241BB0CFD4AD1633D6D</vt:lpwstr>
  </property>
</Properties>
</file>