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97D"/>
          <w:sz w:val="36"/>
        </w:rPr>
        <w:t>HydroShare Content Security Audit</w:t>
      </w:r>
    </w:p>
    <w:p>
      <w:pPr>
        <w:spacing w:after="320"/>
        <w:jc w:val="center"/>
      </w:pPr>
      <w:r>
        <w:rPr>
          <w:rFonts w:ascii="Calibri" w:hAnsi="Calibri"/>
          <w:color w:val="707070"/>
          <w:sz w:val="22"/>
        </w:rPr>
        <w:t>Executive Summary  ·  July 2026</w:t>
      </w:r>
    </w:p>
    <w:p/>
    <w:p>
      <w:pPr>
        <w:spacing w:before="160" w:after="80"/>
      </w:pPr>
      <w:r>
        <w:rPr>
          <w:rFonts w:ascii="Calibri" w:hAnsi="Calibri"/>
          <w:b/>
          <w:color w:val="2E74B5"/>
          <w:sz w:val="24"/>
        </w:rPr>
        <w:t>Methodology</w:t>
      </w:r>
    </w:p>
    <w:p>
      <w:pPr>
        <w:spacing w:after="120"/>
      </w:pPr>
      <w:r>
        <w:rPr>
          <w:rFonts w:ascii="Calibri" w:hAnsi="Calibri"/>
          <w:b w:val="0"/>
          <w:sz w:val="22"/>
        </w:rPr>
        <w:t>This audit was conducted using an AI-assisted review tool (GPT-4o-mini via GitHub Models API) developed and operated by CUAHSI staff. The tool scanned resource titles, abstracts, and metadata and returned classifications that were reviewed, validated, and refined through iterative human oversight before finalizing findings. All categorization decisions and threshold adjustments were made under human direction.</w:t>
      </w:r>
    </w:p>
    <w:p>
      <w:pPr>
        <w:spacing w:before="160" w:after="80"/>
      </w:pPr>
      <w:r>
        <w:rPr>
          <w:rFonts w:ascii="Calibri" w:hAnsi="Calibri"/>
          <w:b/>
          <w:color w:val="2E74B5"/>
          <w:sz w:val="24"/>
        </w:rPr>
        <w:t>Scope</w:t>
      </w:r>
    </w:p>
    <w:p>
      <w:pPr>
        <w:spacing w:after="120"/>
      </w:pPr>
      <w:r>
        <w:rPr>
          <w:rFonts w:ascii="Calibri" w:hAnsi="Calibri"/>
          <w:b w:val="0"/>
          <w:sz w:val="22"/>
        </w:rPr>
        <w:t>20,616 resources were scanned across all visibility tiers — 8,136 public, 909 discoverable-only, and 11,550 private.</w:t>
      </w:r>
    </w:p>
    <w:p>
      <w:pPr>
        <w:spacing w:before="160" w:after="80"/>
      </w:pPr>
      <w:r>
        <w:rPr>
          <w:rFonts w:ascii="Calibri" w:hAnsi="Calibri"/>
          <w:b/>
          <w:color w:val="2E74B5"/>
          <w:sz w:val="24"/>
        </w:rPr>
        <w:t>Are Public Resources at Risk?</w:t>
      </w:r>
    </w:p>
    <w:p>
      <w:pPr>
        <w:spacing w:after="120"/>
      </w:pPr>
      <w:r>
        <w:rPr>
          <w:rFonts w:ascii="Calibri" w:hAnsi="Calibri"/>
          <w:b w:val="0"/>
          <w:sz w:val="22"/>
        </w:rPr>
        <w:t>No. The 19 malicious public resources identified have been removed. These were commercial SEO spam — Indonesian travel and car rental ads, PUBG gaming account listings, and health/wellness marketing — posted publicly to gain search engine backlinks, not to target HydroShare users. The discoverable-only catalog was entirely clean.</w:t>
      </w:r>
    </w:p>
    <w:p>
      <w:pPr>
        <w:spacing w:before="160" w:after="80"/>
      </w:pPr>
      <w:r>
        <w:rPr>
          <w:rFonts w:ascii="Calibri" w:hAnsi="Calibri"/>
          <w:b/>
          <w:color w:val="2E74B5"/>
          <w:sz w:val="24"/>
        </w:rPr>
        <w:t>Security Finding: Confirmed Malicious Content</w:t>
      </w:r>
    </w:p>
    <w:p>
      <w:pPr>
        <w:spacing w:after="120"/>
      </w:pPr>
      <w:r>
        <w:rPr>
          <w:rFonts w:ascii="Calibri" w:hAnsi="Calibri"/>
          <w:b w:val="0"/>
          <w:sz w:val="22"/>
        </w:rPr>
        <w:t>The scan identified 253 malicious resources created by 189 accounts with no connection to water science. These accounts registered on HydroShare and used it as a free hosting platform for commercial spam. Content types found:</w:t>
      </w:r>
    </w:p>
    <w:p>
      <w:pPr>
        <w:pStyle w:val="ListBullet"/>
        <w:spacing w:after="60"/>
      </w:pPr>
      <w:r>
        <w:rPr>
          <w:rFonts w:ascii="Calibri" w:hAnsi="Calibri"/>
          <w:b w:val="0"/>
          <w:sz w:val="22"/>
        </w:rPr>
        <w:t>Pharmaceutical ads (erectile dysfunction medications, controlled substances)</w:t>
      </w:r>
    </w:p>
    <w:p>
      <w:pPr>
        <w:pStyle w:val="ListBullet"/>
        <w:spacing w:after="60"/>
      </w:pPr>
      <w:r>
        <w:rPr>
          <w:rFonts w:ascii="Calibri" w:hAnsi="Calibri"/>
          <w:b w:val="0"/>
          <w:sz w:val="22"/>
        </w:rPr>
        <w:t>Escort and adult services</w:t>
      </w:r>
    </w:p>
    <w:p>
      <w:pPr>
        <w:pStyle w:val="ListBullet"/>
        <w:spacing w:after="60"/>
      </w:pPr>
      <w:r>
        <w:rPr>
          <w:rFonts w:ascii="Calibri" w:hAnsi="Calibri"/>
          <w:b w:val="0"/>
          <w:sz w:val="22"/>
        </w:rPr>
        <w:t>Online gambling promotions</w:t>
      </w:r>
    </w:p>
    <w:p>
      <w:pPr>
        <w:pStyle w:val="ListBullet"/>
        <w:spacing w:after="60"/>
      </w:pPr>
      <w:r>
        <w:rPr>
          <w:rFonts w:ascii="Calibri" w:hAnsi="Calibri"/>
          <w:b w:val="0"/>
          <w:sz w:val="22"/>
        </w:rPr>
        <w:t>Travel booking and visa services</w:t>
      </w:r>
    </w:p>
    <w:p>
      <w:pPr>
        <w:pStyle w:val="ListBullet"/>
        <w:spacing w:after="60"/>
      </w:pPr>
      <w:r>
        <w:rPr>
          <w:rFonts w:ascii="Calibri" w:hAnsi="Calibri"/>
          <w:b w:val="0"/>
          <w:sz w:val="22"/>
        </w:rPr>
        <w:t>Tech support and financial services scams</w:t>
      </w:r>
    </w:p>
    <w:p>
      <w:pPr>
        <w:pStyle w:val="ListBullet"/>
        <w:spacing w:after="60"/>
      </w:pPr>
      <w:r>
        <w:rPr>
          <w:rFonts w:ascii="Calibri" w:hAnsi="Calibri"/>
          <w:b w:val="0"/>
          <w:sz w:val="22"/>
        </w:rPr>
        <w:t>General commercial advertising (construction, retail, education)</w:t>
      </w:r>
    </w:p>
    <w:p/>
    <w:p>
      <w:r>
        <w:rPr>
          <w:rFonts w:ascii="Calibri" w:hAnsi="Calibri"/>
          <w:b/>
          <w:sz w:val="22"/>
        </w:rPr>
        <w:t xml:space="preserve">Recommended action: </w:t>
      </w:r>
      <w:r>
        <w:rPr>
          <w:rFonts w:ascii="Calibri" w:hAnsi="Calibri"/>
          <w:b w:val="0"/>
          <w:sz w:val="22"/>
        </w:rPr>
        <w:t>The 189 accounts and their 253 resources are listed in spam_security_report.csv. Suspend all 189 accounts.</w:t>
      </w:r>
    </w:p>
    <w:p>
      <w:pPr>
        <w:spacing w:before="160" w:after="80"/>
      </w:pPr>
      <w:r>
        <w:rPr>
          <w:rFonts w:ascii="Calibri" w:hAnsi="Calibri"/>
          <w:b/>
          <w:color w:val="2E74B5"/>
          <w:sz w:val="24"/>
        </w:rPr>
        <w:t>Content Quality Findings (Not Security Concerns)</w:t>
      </w:r>
    </w:p>
    <w:p>
      <w:pPr>
        <w:spacing w:after="120"/>
      </w:pPr>
      <w:r>
        <w:rPr>
          <w:rFonts w:ascii="Calibri" w:hAnsi="Calibri"/>
          <w:b w:val="0"/>
          <w:sz w:val="22"/>
        </w:rPr>
        <w:t>The scan also flagged approximately 2,500 resources across six quality categories. These represent normal platform activity and require no security action.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6E4F0"/>
          </w:tcPr>
          <w:p>
            <w:r>
              <w:rPr>
                <w:rFonts w:ascii="Calibri" w:hAnsi="Calibri"/>
                <w:b/>
                <w:sz w:val="20"/>
              </w:rPr>
              <w:t>Category</w:t>
            </w:r>
          </w:p>
        </w:tc>
        <w:tc>
          <w:tcPr>
            <w:tcW w:type="dxa" w:w="2880"/>
            <w:shd w:val="clear" w:color="auto" w:fill="D6E4F0"/>
          </w:tcPr>
          <w:p>
            <w:r>
              <w:rPr>
                <w:rFonts w:ascii="Calibri" w:hAnsi="Calibri"/>
                <w:b/>
                <w:sz w:val="20"/>
              </w:rPr>
              <w:t>Count</w:t>
            </w:r>
          </w:p>
        </w:tc>
        <w:tc>
          <w:tcPr>
            <w:tcW w:type="dxa" w:w="2880"/>
            <w:shd w:val="clear" w:color="auto" w:fill="D6E4F0"/>
          </w:tcPr>
          <w:p>
            <w:r>
              <w:rPr>
                <w:rFonts w:ascii="Calibri" w:hAnsi="Calibri"/>
                <w:b/>
                <w:sz w:val="20"/>
              </w:rPr>
              <w:t>Description</w:t>
            </w:r>
          </w:p>
        </w:tc>
      </w:tr>
      <w:tr>
        <w:tc>
          <w:tcPr>
            <w:tcW w:type="dxa" w:w="2880"/>
            <w:shd w:val="clear" w:color="auto" w:fill="F2F8FD"/>
          </w:tcPr>
          <w:p>
            <w:r>
              <w:rPr>
                <w:rFonts w:ascii="Calibri" w:hAnsi="Calibri"/>
                <w:b w:val="0"/>
                <w:sz w:val="20"/>
              </w:rPr>
              <w:t>Ambiguous / uncategorized content</w:t>
            </w:r>
          </w:p>
        </w:tc>
        <w:tc>
          <w:tcPr>
            <w:tcW w:type="dxa" w:w="2880"/>
            <w:shd w:val="clear" w:color="auto" w:fill="F2F8FD"/>
          </w:tcPr>
          <w:p>
            <w:r>
              <w:rPr>
                <w:rFonts w:ascii="Calibri" w:hAnsi="Calibri"/>
                <w:b w:val="0"/>
                <w:sz w:val="20"/>
              </w:rPr>
              <w:t>963</w:t>
            </w:r>
          </w:p>
        </w:tc>
        <w:tc>
          <w:tcPr>
            <w:tcW w:type="dxa" w:w="2880"/>
            <w:shd w:val="clear" w:color="auto" w:fill="F2F8FD"/>
          </w:tcPr>
          <w:p>
            <w:r>
              <w:rPr>
                <w:rFonts w:ascii="Calibri" w:hAnsi="Calibri"/>
                <w:b w:val="0"/>
                <w:sz w:val="20"/>
              </w:rPr>
              <w:t>Orphaned workshop data, personal uploads, low-quality titles</w:t>
            </w:r>
          </w:p>
        </w:tc>
      </w:tr>
      <w:tr>
        <w:tc>
          <w:tcPr>
            <w:tcW w:type="dxa" w:w="2880"/>
            <w:shd w:val="clear" w:color="auto" w:fill="FFFFFF"/>
          </w:tcPr>
          <w:p>
            <w:r>
              <w:rPr>
                <w:rFonts w:ascii="Calibri" w:hAnsi="Calibri"/>
                <w:b w:val="0"/>
                <w:sz w:val="20"/>
              </w:rPr>
              <w:t>Developer and researcher test resources</w:t>
            </w:r>
          </w:p>
        </w:tc>
        <w:tc>
          <w:tcPr>
            <w:tcW w:type="dxa" w:w="2880"/>
            <w:shd w:val="clear" w:color="auto" w:fill="FFFFFF"/>
          </w:tcPr>
          <w:p>
            <w:r>
              <w:rPr>
                <w:rFonts w:ascii="Calibri" w:hAnsi="Calibri"/>
                <w:b w:val="0"/>
                <w:sz w:val="20"/>
              </w:rPr>
              <w:t>654</w:t>
            </w:r>
          </w:p>
        </w:tc>
        <w:tc>
          <w:tcPr>
            <w:tcW w:type="dxa" w:w="2880"/>
            <w:shd w:val="clear" w:color="auto" w:fill="FFFFFF"/>
          </w:tcPr>
          <w:p>
            <w:r>
              <w:rPr>
                <w:rFonts w:ascii="Calibri" w:hAnsi="Calibri"/>
                <w:b w:val="0"/>
                <w:sz w:val="20"/>
              </w:rPr>
              <w:t>JupyterHub demo notebooks, temp files, prototype resources</w:t>
            </w:r>
          </w:p>
        </w:tc>
      </w:tr>
      <w:tr>
        <w:tc>
          <w:tcPr>
            <w:tcW w:type="dxa" w:w="2880"/>
            <w:shd w:val="clear" w:color="auto" w:fill="F2F8FD"/>
          </w:tcPr>
          <w:p>
            <w:r>
              <w:rPr>
                <w:rFonts w:ascii="Calibri" w:hAnsi="Calibri"/>
                <w:b w:val="0"/>
                <w:sz w:val="20"/>
              </w:rPr>
              <w:t>Geographic placeholder entries</w:t>
            </w:r>
          </w:p>
        </w:tc>
        <w:tc>
          <w:tcPr>
            <w:tcW w:type="dxa" w:w="2880"/>
            <w:shd w:val="clear" w:color="auto" w:fill="F2F8FD"/>
          </w:tcPr>
          <w:p>
            <w:r>
              <w:rPr>
                <w:rFonts w:ascii="Calibri" w:hAnsi="Calibri"/>
                <w:b w:val="0"/>
                <w:sz w:val="20"/>
              </w:rPr>
              <w:t>475</w:t>
            </w:r>
          </w:p>
        </w:tc>
        <w:tc>
          <w:tcPr>
            <w:tcW w:type="dxa" w:w="2880"/>
            <w:shd w:val="clear" w:color="auto" w:fill="F2F8FD"/>
          </w:tcPr>
          <w:p>
            <w:r>
              <w:rPr>
                <w:rFonts w:ascii="Calibri" w:hAnsi="Calibri"/>
                <w:b w:val="0"/>
                <w:sz w:val="20"/>
              </w:rPr>
              <w:t>Single watershed or location names with no scientific content</w:t>
            </w:r>
          </w:p>
        </w:tc>
      </w:tr>
      <w:tr>
        <w:tc>
          <w:tcPr>
            <w:tcW w:type="dxa" w:w="2880"/>
            <w:shd w:val="clear" w:color="auto" w:fill="FFFFFF"/>
          </w:tcPr>
          <w:p>
            <w:r>
              <w:rPr>
                <w:rFonts w:ascii="Calibri" w:hAnsi="Calibri"/>
                <w:b w:val="0"/>
                <w:sz w:val="20"/>
              </w:rPr>
              <w:t>Student homework and class exercises</w:t>
            </w:r>
          </w:p>
        </w:tc>
        <w:tc>
          <w:tcPr>
            <w:tcW w:type="dxa" w:w="2880"/>
            <w:shd w:val="clear" w:color="auto" w:fill="FFFFFF"/>
          </w:tcPr>
          <w:p>
            <w:r>
              <w:rPr>
                <w:rFonts w:ascii="Calibri" w:hAnsi="Calibri"/>
                <w:b w:val="0"/>
                <w:sz w:val="20"/>
              </w:rPr>
              <w:t>157</w:t>
            </w:r>
          </w:p>
        </w:tc>
        <w:tc>
          <w:tcPr>
            <w:tcW w:type="dxa" w:w="2880"/>
            <w:shd w:val="clear" w:color="auto" w:fill="FFFFFF"/>
          </w:tcPr>
          <w:p>
            <w:r>
              <w:rPr>
                <w:rFonts w:ascii="Calibri" w:hAnsi="Calibri"/>
                <w:b w:val="0"/>
                <w:sz w:val="20"/>
              </w:rPr>
              <w:t>CEE 6400, Snow Modeling HW, Cyber Carpentry assignments</w:t>
            </w:r>
          </w:p>
        </w:tc>
      </w:tr>
      <w:tr>
        <w:tc>
          <w:tcPr>
            <w:tcW w:type="dxa" w:w="2880"/>
            <w:shd w:val="clear" w:color="auto" w:fill="F2F8FD"/>
          </w:tcPr>
          <w:p>
            <w:r>
              <w:rPr>
                <w:rFonts w:ascii="Calibri" w:hAnsi="Calibri"/>
                <w:b w:val="0"/>
                <w:sz w:val="20"/>
              </w:rPr>
              <w:t>Off-topic academic content</w:t>
            </w:r>
          </w:p>
        </w:tc>
        <w:tc>
          <w:tcPr>
            <w:tcW w:type="dxa" w:w="2880"/>
            <w:shd w:val="clear" w:color="auto" w:fill="F2F8FD"/>
          </w:tcPr>
          <w:p>
            <w:r>
              <w:rPr>
                <w:rFonts w:ascii="Calibri" w:hAnsi="Calibri"/>
                <w:b w:val="0"/>
                <w:sz w:val="20"/>
              </w:rPr>
              <w:t>114</w:t>
            </w:r>
          </w:p>
        </w:tc>
        <w:tc>
          <w:tcPr>
            <w:tcW w:type="dxa" w:w="2880"/>
            <w:shd w:val="clear" w:color="auto" w:fill="F2F8FD"/>
          </w:tcPr>
          <w:p>
            <w:r>
              <w:rPr>
                <w:rFonts w:ascii="Calibri" w:hAnsi="Calibri"/>
                <w:b w:val="0"/>
                <w:sz w:val="20"/>
              </w:rPr>
              <w:t>Non-water research (geology, ecology, finance) uploaded by researchers</w:t>
            </w:r>
          </w:p>
        </w:tc>
      </w:tr>
      <w:tr>
        <w:tc>
          <w:tcPr>
            <w:tcW w:type="dxa" w:w="2880"/>
            <w:shd w:val="clear" w:color="auto" w:fill="FFFFFF"/>
          </w:tcPr>
          <w:p>
            <w:r>
              <w:rPr>
                <w:rFonts w:ascii="Calibri" w:hAnsi="Calibri"/>
                <w:b w:val="0"/>
                <w:sz w:val="20"/>
              </w:rPr>
              <w:t>Platform infrastructure assets</w:t>
            </w:r>
          </w:p>
        </w:tc>
        <w:tc>
          <w:tcPr>
            <w:tcW w:type="dxa" w:w="2880"/>
            <w:shd w:val="clear" w:color="auto" w:fill="FFFFFF"/>
          </w:tcPr>
          <w:p>
            <w:r>
              <w:rPr>
                <w:rFonts w:ascii="Calibri" w:hAnsi="Calibri"/>
                <w:b w:val="0"/>
                <w:sz w:val="20"/>
              </w:rPr>
              <w:t>111</w:t>
            </w:r>
          </w:p>
        </w:tc>
        <w:tc>
          <w:tcPr>
            <w:tcW w:type="dxa" w:w="2880"/>
            <w:shd w:val="clear" w:color="auto" w:fill="FFFFFF"/>
          </w:tcPr>
          <w:p>
            <w:r>
              <w:rPr>
                <w:rFonts w:ascii="Calibri" w:hAnsi="Calibri"/>
                <w:b w:val="0"/>
                <w:sz w:val="20"/>
              </w:rPr>
              <w:t>Tool logos, JupyterHub screenshots, release notes</w:t>
            </w:r>
          </w:p>
        </w:tc>
      </w:tr>
    </w:tbl>
    <w:p/>
    <w:p>
      <w:pPr>
        <w:spacing w:after="120"/>
      </w:pPr>
      <w:r>
        <w:rPr>
          <w:rFonts w:ascii="Calibri" w:hAnsi="Calibri"/>
          <w:b w:val="0"/>
          <w:sz w:val="22"/>
        </w:rPr>
        <w:t>These are housekeeping items. If a content quality cleanup is desired, it can be addressed separately as a platform maintenance exercise.</w:t>
      </w:r>
    </w:p>
    <w:p>
      <w:pPr>
        <w:spacing w:before="160" w:after="80"/>
      </w:pPr>
      <w:r>
        <w:rPr>
          <w:rFonts w:ascii="Calibri" w:hAnsi="Calibri"/>
          <w:b/>
          <w:color w:val="2E74B5"/>
          <w:sz w:val="24"/>
        </w:rPr>
        <w:t>Bottom Line</w:t>
      </w:r>
    </w:p>
    <w:p>
      <w:pPr>
        <w:spacing w:after="120"/>
      </w:pPr>
      <w:r>
        <w:rPr>
          <w:rFonts w:ascii="Calibri" w:hAnsi="Calibri"/>
          <w:b/>
          <w:sz w:val="22"/>
        </w:rPr>
        <w:t xml:space="preserve">Public content is clean. </w:t>
      </w:r>
      <w:r>
        <w:rPr>
          <w:rFonts w:ascii="Calibri" w:hAnsi="Calibri"/>
          <w:b w:val="0"/>
          <w:sz w:val="22"/>
        </w:rPr>
        <w:t>253 malicious resources from 189 bot/spam accounts were found, primarily in private storage. Suspending the 189 flagged accounts closes the security issue. The remaining flagged content is normal academic platform clutter, not abuse.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09090"/>
        <w:sz w:val="18"/>
      </w:rPr>
      <w:t>HydroShare Security Audit · CUAHSI · July 2026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