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BeyondTouch project report</w:t>
      </w:r>
    </w:p>
    <w:p>
      <w:r>
        <w:t>Movement metrics and explainable football analysis</w:t>
      </w:r>
    </w:p>
    <w:p>
      <w:r>
        <w:t>Project status as of 25 October 2026</w:t>
      </w:r>
    </w:p>
    <w:p>
      <w:pPr>
        <w:pStyle w:val="Heading1"/>
      </w:pPr>
      <w:r>
        <w:t>What the project does</w:t>
      </w:r>
    </w:p>
    <w:p>
      <w:r>
        <w:t>BeyondTouch makes off-ball football movement easier to understand through measured evidence and an interactive replay. It estimates how one attacker’s movement changes spatial control, measures nearby defender travel, and shows how much space and time a potential receiver has. It is intended to support fan explanations and tactical storytelling.</w:t>
      </w:r>
    </w:p>
    <w:p>
      <w:r>
        <w:t>The working version contains twelve reproducible synthetic examples. It uses Basel’s existing pitch-control attribution code, with corrections and additional metrics. These examples establish that the pipeline runs and expose its numerical behaviour. They do not establish accuracy on professional match data.</w:t>
      </w:r>
    </w:p>
    <w:p>
      <w:pPr>
        <w:pStyle w:val="Heading1"/>
      </w:pPr>
      <w:r>
        <w:t>What already works</w:t>
      </w:r>
    </w:p>
    <w:p>
      <w:pPr>
        <w:pStyle w:val="ListBullet"/>
      </w:pPr>
      <w:r>
        <w:t>A replay for each example with playback, scrubbing, movement trails and a spatial-change overlay.</w:t>
      </w:r>
    </w:p>
    <w:p>
      <w:pPr>
        <w:pStyle w:val="ListBullet"/>
      </w:pPr>
      <w:r>
        <w:t>Measured distances, control-equivalent area, receiver separation and candidate receiving-window duration.</w:t>
      </w:r>
    </w:p>
    <w:p>
      <w:pPr>
        <w:pStyle w:val="ListBullet"/>
      </w:pPr>
      <w:r>
        <w:t>Source labels identifying the match instance, run, team, player IDs and analysis window.</w:t>
      </w:r>
    </w:p>
    <w:p>
      <w:pPr>
        <w:pStyle w:val="ListBullet"/>
      </w:pPr>
      <w:r>
        <w:t>Input checks, negative controls, mirrored-team checks, and grid and parameter sensitivity measurements.</w:t>
      </w:r>
    </w:p>
    <w:p>
      <w:pPr>
        <w:pStyle w:val="Heading1"/>
      </w:pPr>
      <w:r>
        <w:t>Where the data come from</w:t>
      </w:r>
    </w:p>
    <w:p>
      <w:r>
        <w:t>Every included match is authored and synthetic. Aster FC and Boreal FC are fictional teams. Match IDs run from SIM-MATCH-01 to SIM-MATCH-12; run IDs run from BT-SYN-01-RUN-01 to BT-SYN-12-RUN-01. Player IDs refer to shirt numbers, not real athletes. There are eleven players per team and no real player names.</w:t>
      </w:r>
    </w:p>
    <w:p>
      <w:r>
        <w:t>The runner is Home_11, the receiver Home_10 and the carrier Home_8, except the mirrored example, which uses Away_11, Away_10 and Away_8. Full rosters are recorded in each instance.json file. The analysis covers local time 0 to 3.48 seconds, the last 25 Hz sample before the authored pass release at 3.5 seconds. Later animation is context only.</w:t>
      </w:r>
    </w:p>
    <w:p>
      <w:r>
        <w:t>No result is presented as a Premier League or World Cup match finding. PFF tracking was not included in the linked code repository. Public Metrica data is anonymized, while Last Row’s named-player data warns that it lacks research accuracy; neither has been silently substituted for the included scenarios.</w:t>
      </w:r>
    </w:p>
    <w:p>
      <w:r>
        <w:br w:type="page"/>
      </w:r>
    </w:p>
    <w:p>
      <w:pPr>
        <w:pStyle w:val="Heading1"/>
      </w:pPr>
      <w:r>
        <w:t>How the numbers are calculated</w:t>
      </w:r>
    </w:p>
    <w:p>
      <w:pPr>
        <w:pStyle w:val="Heading2"/>
      </w:pPr>
      <w:r>
        <w:t>Control equivalent area in square metres</w:t>
      </w:r>
    </w:p>
    <w:p>
      <w:r>
        <w:t>The pitch-control model estimates which team could control the ball at each location. We compare the run start with a counterfactual state in which only the runner’s position and velocity advance to the run end. The change in each grid cell is multiplied by the cell’s physical area, then summed. Gains, losses and net change are retained separately.</w:t>
      </w:r>
    </w:p>
    <w:p>
      <w:pPr>
        <w:spacing w:after="20"/>
      </w:pPr>
      <w:r>
        <w:rPr>
          <w:rFonts w:ascii="Consolas" w:hAnsi="Consolas"/>
          <w:sz w:val="17"/>
        </w:rPr>
        <w:t>Control equivalent area = sum(control change × cell area)</w:t>
      </w:r>
    </w:p>
    <w:p>
      <w:r>
        <w:t>This is a model sensitivity, not exclusive ownership of an area or proof of causal credit. It is an endpoint comparison, not repeatedly accumulated space. Penalty-area results now weight boundary cells by their exact rectangular overlap instead of counting whole cells by their centres.</w:t>
      </w:r>
    </w:p>
    <w:p>
      <w:pPr>
        <w:pStyle w:val="Heading2"/>
      </w:pPr>
      <w:r>
        <w:t>Defender travel in metres</w:t>
      </w:r>
    </w:p>
    <w:p>
      <w:r>
        <w:t>We select up to two outfield defenders who are nearest to the runner and within ten metres at the run start. Their travel is the sum of sample-to-sample distances. Distance above 5.5 metres per second is reported separately. A further measure subtracts the average translation of all outfield defenders before measuring the selected defender’s remaining path. This does not remove rotation or establish who caused the movement.</w:t>
      </w:r>
    </w:p>
    <w:p>
      <w:pPr>
        <w:pStyle w:val="Heading2"/>
      </w:pPr>
      <w:r>
        <w:t>Receiver separation and available time</w:t>
      </w:r>
    </w:p>
    <w:p>
      <w:r>
        <w:t>Receiver separation is the distance to the nearest defender at each sample. A candidate receiving window requires the receiver to be onside, at least three metres from the nearest defender, at a location with at least 0.65 pitch control, and with at least 1.5 metres of straight-line passing-lane clearance. Qualifying sample intervals are summed; the longest uninterrupted window is also reported.</w:t>
      </w:r>
    </w:p>
    <w:p>
      <w:r>
        <w:t>The thresholds are explicit heuristics. They are not validated pass-completion probabilities. The lane rule does not model full ball-flight interception. At 25 Hz, the sampling resolution is 0.04 seconds; threshold crossings can occur between samples.</w:t>
      </w:r>
    </w:p>
    <w:p>
      <w:pPr>
        <w:pStyle w:val="Heading2"/>
      </w:pPr>
      <w:r>
        <w:t>Shot context and unattributed change</w:t>
      </w:r>
    </w:p>
    <w:p>
      <w:r>
        <w:t>No xG model or xG values are supplied for these fixtures. A later shot event is context only. We do not assign a shot’s xG to the runner. We also report the difference between the observed team change and summed individual attacker sensitivities. This residual includes defenders, ball motion and nonlinear interactions, not just synergy.</w:t>
      </w:r>
    </w:p>
    <w:p>
      <w:r>
        <w:br w:type="page"/>
      </w:r>
    </w:p>
    <w:p>
      <w:pPr>
        <w:pStyle w:val="Heading1"/>
      </w:pPr>
      <w:r>
        <w:t>Results from twelve examples</w:t>
      </w:r>
    </w:p>
    <w:p>
      <w:r>
        <w:t>All values below are calculated from the included synthetic files. Net area is frozen-state model sensitivity in square metres. Defender travel is observed metres. Window is the longest threshold-defined duration in seconds. Grid difference compares the 50-column and 75-column calculations; it is not an accuracy score.</w:t>
      </w:r>
    </w:p>
    <w:tbl>
      <w:tblPr>
        <w:tblW w:type="auto" w:w="0"/>
        <w:jc w:val="center"/>
        <w:tblLayout w:type="fixed"/>
        <w:tblLook w:firstColumn="1" w:firstRow="1" w:lastColumn="0" w:lastRow="0" w:noHBand="0" w:noVBand="1" w:val="04A0"/>
      </w:tblPr>
      <w:tblGrid>
        <w:gridCol w:w="547"/>
        <w:gridCol w:w="3744"/>
        <w:gridCol w:w="1152"/>
        <w:gridCol w:w="936"/>
        <w:gridCol w:w="792"/>
        <w:gridCol w:w="1080"/>
      </w:tblGrid>
      <w:tr>
        <w:trPr>
          <w:cantSplit/>
          <w:tblHeader/>
        </w:trPr>
        <w:tc>
          <w:tcPr>
            <w:tcW w:type="dxa" w:w="547"/>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ID</w:t>
            </w:r>
          </w:p>
        </w:tc>
        <w:tc>
          <w:tcPr>
            <w:tcW w:type="dxa" w:w="3744"/>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Movement</w:t>
            </w:r>
          </w:p>
        </w:tc>
        <w:tc>
          <w:tcPr>
            <w:tcW w:type="dxa" w:w="115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Net m²</w:t>
            </w:r>
          </w:p>
        </w:tc>
        <w:tc>
          <w:tcPr>
            <w:tcW w:type="dxa" w:w="936"/>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Def m</w:t>
            </w:r>
          </w:p>
        </w:tc>
        <w:tc>
          <w:tcPr>
            <w:tcW w:type="dxa" w:w="79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Win s</w:t>
            </w:r>
          </w:p>
        </w:tc>
        <w:tc>
          <w:tcPr>
            <w:tcW w:type="dxa" w:w="1080"/>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Grid Δ m²</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01</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Diagonal run toward the left channel</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+284.03</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21.28</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0.02</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02</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Straight run behind the defensive line</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+310.50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14.91</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03</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Check back toward midfield</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-43.96</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4.10</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2.31</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04</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Wide supporting run</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+80.98</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21.96</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0.35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05</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Stationary attacker negative control</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21.28</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0.00</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06</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Retreat away from the attacking area</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-70.13</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4.97</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3.69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07</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Double movement</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+330.92</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21.28</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0.04</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08</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Defensive handover</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+291.09</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9.22</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2.80</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09</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Away team mirrored attack</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+284.03</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21.28</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0.06</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10</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Receiver remains tightly marked</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+281.24</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21.28</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0.00</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11</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Run ends beyond the offside line</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-204.00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12.93</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0.07</w:t>
            </w:r>
          </w:p>
        </w:tc>
      </w:tr>
      <w:tr>
        <w:trPr>
          <w:cantSplit/>
        </w:trPr>
        <w:tc>
          <w:tcPr>
            <w:tcW w:type="dxa" w:w="547"/>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12</w:t>
            </w:r>
          </w:p>
        </w:tc>
        <w:tc>
          <w:tcPr>
            <w:tcW w:type="dxa" w:w="374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Defenders hold their positions</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+214.40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0.00</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0.00</w:t>
            </w:r>
          </w:p>
        </w:tc>
        <w:tc>
          <w:tcPr>
            <w:tcW w:type="dxa" w:w="108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0.03</w:t>
            </w:r>
          </w:p>
        </w:tc>
      </w:tr>
    </w:tbl>
    <w:p>
      <w:r>
        <w:t>Each ID above maps directly to a source folder, instance.json, Home and Away CSVs, metrics JSON, per-sample evidence CSV and replay. For example, ID 01 is SIM-MATCH-01 and BT-SYN-01-RUN-01, with Home_11 running off the ball while Home_8 is the carrier and Home_10 is the potential receiver.</w:t>
      </w:r>
    </w:p>
    <w:p>
      <w:r>
        <w:t>Use the stationary case as a zero-movement control, the mirrored case to check team symmetry, and the tightly marked receiver to show that an attacking run need not open a receiving window. These are intentionally different mechanisms, rather than repeated copies of one favourable example.</w:t>
      </w:r>
    </w:p>
    <w:p>
      <w:r>
        <w:br w:type="page"/>
      </w:r>
    </w:p>
    <w:p>
      <w:pPr>
        <w:pStyle w:val="Heading1"/>
      </w:pPr>
      <w:r>
        <w:t>What improved and what remains uncertain</w:t>
      </w:r>
    </w:p>
    <w:p>
      <w:r>
        <w:t>The model now follows the team in possession when setting attacker and defender roles. Missing players remain missing rather than appearing at the centre spot. The metrics reject unsynchronized timestamps, duplicate times, tracking gaps, mid-run visibility changes, invalid ball positions and period changes.</w:t>
      </w:r>
    </w:p>
    <w:p>
      <w:r>
        <w:t>Spatial calculations now filter offside attackers using centre positions and a 0.2 metre tolerance. The integration step is 0.02 seconds, compared with 0.04 seconds in the initial prototype. Regional area boundaries use fractional grid-cell overlap. These changes improve numerical consistency but do not calibrate the football model against real outcomes.</w:t>
      </w:r>
    </w:p>
    <w:p>
      <w:r>
        <w:t>Across the twelve examples, 11 meet the declared grid-stability tolerance: an absolute net-area difference no greater than the larger of 3 square metres or 5 percent of the finer-grid result. We report failures as well as passes. This threshold is a project diagnostic, not an established football-analytics standard.</w:t>
      </w:r>
    </w:p>
    <w:p>
      <w:pPr>
        <w:pStyle w:val="Heading2"/>
      </w:pPr>
      <w:r>
        <w:t>Sensitivity to model assumptions</w:t>
      </w:r>
    </w:p>
    <w:tbl>
      <w:tblPr>
        <w:tblW w:type="auto" w:w="0"/>
        <w:jc w:val="center"/>
        <w:tblLayout w:type="fixed"/>
        <w:tblLook w:firstColumn="1" w:firstRow="1" w:lastColumn="0" w:lastRow="0" w:noHBand="0" w:noVBand="1" w:val="04A0"/>
      </w:tblPr>
      <w:tblGrid>
        <w:gridCol w:w="5904"/>
        <w:gridCol w:w="1224"/>
        <w:gridCol w:w="1152"/>
      </w:tblGrid>
      <w:tr>
        <w:trPr>
          <w:cantSplit/>
          <w:tblHeader/>
        </w:trPr>
        <w:tc>
          <w:tcPr>
            <w:tcW w:type="dxa" w:w="5904"/>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Setting for example 01</w:t>
            </w:r>
          </w:p>
        </w:tc>
        <w:tc>
          <w:tcPr>
            <w:tcW w:type="dxa" w:w="1224"/>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Net m²</w:t>
            </w:r>
          </w:p>
        </w:tc>
        <w:tc>
          <w:tcPr>
            <w:tcW w:type="dxa" w:w="115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Window s</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Baseline 0.02 s integration</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+284.03</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r>
      <w:tr>
        <w:trPr>
          <w:cantSplit/>
        </w:trPr>
        <w:tc>
          <w:tcPr>
            <w:tcW w:type="dxa" w:w="590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finer-time-integration</w:t>
            </w:r>
          </w:p>
        </w:tc>
        <w:tc>
          <w:tcPr>
            <w:tcW w:type="dxa" w:w="12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+282.86</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2.24</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faster-defender-reaction</w:t>
            </w:r>
          </w:p>
        </w:tc>
        <w:tc>
          <w:tcPr>
            <w:tcW w:type="dxa" w:w="12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+292.47</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2.24</w:t>
            </w:r>
          </w:p>
        </w:tc>
      </w:tr>
      <w:tr>
        <w:trPr>
          <w:cantSplit/>
        </w:trPr>
        <w:tc>
          <w:tcPr>
            <w:tcW w:type="dxa" w:w="590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slower-defender-reaction</w:t>
            </w:r>
          </w:p>
        </w:tc>
        <w:tc>
          <w:tcPr>
            <w:tcW w:type="dxa" w:w="12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+274.08</w:t>
            </w:r>
          </w:p>
        </w:tc>
        <w:tc>
          <w:tcPr>
            <w:tcW w:type="dxa" w:w="115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2.24</w:t>
            </w:r>
          </w:p>
        </w:tc>
      </w:tr>
    </w:tbl>
    <w:p>
      <w:r>
        <w:t>Changing defender reaction time tests dependence on a modelling assumption. The resulting range is not a statistical confidence interval. We have not trained or calibrated player reaction times, obtained ground-truth movement credit, or independently reproduced the thesis’s real-match findings.</w:t>
      </w:r>
    </w:p>
    <w:p>
      <w:pPr>
        <w:pStyle w:val="Heading2"/>
      </w:pPr>
      <w:r>
        <w:t>AI storytelling status</w:t>
      </w:r>
    </w:p>
    <w:p>
      <w:r>
        <w:t>Replay explanations currently use deterministic summaries of calculated metrics. An Azure generative narration service is not connected. The next product step is to let a model create fan, analyst and broadcast versions from the same evidence, checking every numerical claim against its source. The service must not invent player intent or convert influence into goal probability.</w:t>
      </w:r>
    </w:p>
    <w:p>
      <w:pPr>
        <w:pStyle w:val="Heading2"/>
      </w:pPr>
      <w:r>
        <w:t>Research foundation</w:t>
      </w:r>
    </w:p>
    <w:p>
      <w:r>
        <w:t>The project extends Quantifying Off-Ball Attacking Influence Using Additive Pitch Control Attribution by Bassel Hammad, Mahmoud Nasr, Omar Refaat, Mohamed Hafez and Tamer Basha, using the LaurieOnTracking framework and a Spearman-style model. Existing MIT notices are retained. The hackathon extension and the earlier thesis must be credited separately.</w:t>
      </w:r>
    </w:p>
    <w:p>
      <w:r>
        <w:br w:type="page"/>
      </w:r>
    </w:p>
    <w:p>
      <w:pPr>
        <w:pStyle w:val="Heading1"/>
      </w:pPr>
      <w:r>
        <w:t>Install and reproduce locally</w:t>
      </w:r>
    </w:p>
    <w:p>
      <w:r>
        <w:t>To view the saved results, install nothing beyond a normal web browser. Download the repository, open docs/index.html, and select an example. To recalculate the results, use Python 3.12 with NumPy, pandas and Pillow. GitHub Desktop is optional. Node.js, FFmpeg, a GPU and Azure credentials are not required for the metrics pipeline.</w:t>
      </w:r>
    </w:p>
    <w:p>
      <w:pPr>
        <w:pStyle w:val="Heading2"/>
      </w:pPr>
      <w:r>
        <w:t>macOS and Linux</w:t>
      </w:r>
    </w:p>
    <w:p>
      <w:r>
        <w:t>Download the repository ZIP from GitHub and unzip it, or clone the repository if Git is installed. Open Terminal in the BeyondTouch folder. Use an installed, supported Python 3.12 build.</w:t>
      </w:r>
    </w:p>
    <w:p>
      <w:pPr>
        <w:spacing w:after="20"/>
      </w:pPr>
      <w:r>
        <w:rPr>
          <w:rFonts w:ascii="Consolas" w:hAnsi="Consolas"/>
          <w:sz w:val="17"/>
        </w:rPr>
        <w:t>python3.12 -m venv .venv</w:t>
      </w:r>
    </w:p>
    <w:p>
      <w:pPr>
        <w:spacing w:after="20"/>
      </w:pPr>
      <w:r>
        <w:rPr>
          <w:rFonts w:ascii="Consolas" w:hAnsi="Consolas"/>
          <w:sz w:val="17"/>
        </w:rPr>
        <w:t>source .venv/bin/activate</w:t>
      </w:r>
    </w:p>
    <w:p>
      <w:pPr>
        <w:spacing w:after="20"/>
      </w:pPr>
      <w:r>
        <w:rPr>
          <w:rFonts w:ascii="Consolas" w:hAnsi="Consolas"/>
          <w:sz w:val="17"/>
        </w:rPr>
        <w:t>python -m pip install -r requirements.txt</w:t>
      </w:r>
    </w:p>
    <w:p>
      <w:pPr>
        <w:spacing w:after="20"/>
      </w:pPr>
      <w:r>
        <w:rPr>
          <w:rFonts w:ascii="Consolas" w:hAnsi="Consolas"/>
          <w:sz w:val="17"/>
        </w:rPr>
        <w:t>python -m unittest discover -s tests -v</w:t>
      </w:r>
    </w:p>
    <w:p>
      <w:pPr>
        <w:spacing w:after="20"/>
      </w:pPr>
      <w:r>
        <w:rPr>
          <w:rFonts w:ascii="Consolas" w:hAnsi="Consolas"/>
          <w:sz w:val="17"/>
        </w:rPr>
        <w:t>python Scripts/run_example_suite.py --output outputs/examples --workers 2</w:t>
      </w:r>
    </w:p>
    <w:p>
      <w:r>
        <w:t>Open outputs/examples/index.html to view the newly calculated gallery. The first run can take several minutes on a laptop because every example is evaluated at two grid resolutions. Use --workers 1 on a small machine. Run python Scripts/run_movement_sequence.py --output outputs/first to recalculate one legacy fixture first.</w:t>
      </w:r>
    </w:p>
    <w:p>
      <w:pPr>
        <w:pStyle w:val="Heading2"/>
      </w:pPr>
      <w:r>
        <w:t>Windows</w:t>
      </w:r>
    </w:p>
    <w:p>
      <w:pPr>
        <w:spacing w:after="20"/>
      </w:pPr>
      <w:r>
        <w:rPr>
          <w:rFonts w:ascii="Consolas" w:hAnsi="Consolas"/>
          <w:sz w:val="17"/>
        </w:rPr>
        <w:t>py -3.12 -m venv .venv</w:t>
      </w:r>
    </w:p>
    <w:p>
      <w:pPr>
        <w:spacing w:after="20"/>
      </w:pPr>
      <w:r>
        <w:rPr>
          <w:rFonts w:ascii="Consolas" w:hAnsi="Consolas"/>
          <w:sz w:val="17"/>
        </w:rPr>
        <w:t>.venv\Scripts\python.exe -m pip install -r requirements.txt</w:t>
      </w:r>
    </w:p>
    <w:p>
      <w:pPr>
        <w:spacing w:after="20"/>
      </w:pPr>
      <w:r>
        <w:rPr>
          <w:rFonts w:ascii="Consolas" w:hAnsi="Consolas"/>
          <w:sz w:val="17"/>
        </w:rPr>
        <w:t>.venv\Scripts\python.exe -m unittest discover -s tests -v</w:t>
      </w:r>
    </w:p>
    <w:p>
      <w:pPr>
        <w:spacing w:after="20"/>
      </w:pPr>
      <w:r>
        <w:rPr>
          <w:rFonts w:ascii="Consolas" w:hAnsi="Consolas"/>
          <w:sz w:val="17"/>
        </w:rPr>
        <w:t>.venv\Scripts\python.exe Scripts/run_example_suite.py --output outputs/examples --workers 2</w:t>
      </w:r>
    </w:p>
    <w:p>
      <w:r>
        <w:t>These Windows commands call the environment directly, so PowerShell activation-policy changes are unnecessary. The project report and prebuilt replays are included in the repository. Optional historical tutorials have additional dependencies and datasets; they are not needed for this pipeline.</w:t>
      </w:r>
    </w:p>
    <w:p>
      <w:pPr>
        <w:pStyle w:val="Heading2"/>
      </w:pPr>
      <w:r>
        <w:t>Primary sources and project links</w:t>
      </w:r>
    </w:p>
    <w:p>
      <w:pPr>
        <w:spacing w:after="80"/>
      </w:pPr>
      <w:r>
        <w:rPr>
          <w:sz w:val="17"/>
        </w:rPr>
        <w:t>Project repository: https://github.com/hydrosmasher/BeyondTouch</w:t>
      </w:r>
    </w:p>
    <w:p>
      <w:pPr>
        <w:spacing w:after="80"/>
      </w:pPr>
      <w:r>
        <w:rPr>
          <w:sz w:val="17"/>
        </w:rPr>
        <w:t>Basel source: https://github.com/bassel-hammad/LaurieOnTracking</w:t>
      </w:r>
    </w:p>
    <w:p>
      <w:pPr>
        <w:spacing w:after="80"/>
      </w:pPr>
      <w:r>
        <w:rPr>
          <w:sz w:val="17"/>
        </w:rPr>
        <w:t>PFF access information: https://www.blog.fc.pff.com/blog/pff-fc-release-2022-world-cup-data</w:t>
      </w:r>
    </w:p>
    <w:p>
      <w:pPr>
        <w:spacing w:after="80"/>
      </w:pPr>
      <w:r>
        <w:rPr>
          <w:sz w:val="17"/>
        </w:rPr>
        <w:t>Metrica data notes: https://github.com/metrica-sports/sample-data</w:t>
      </w:r>
    </w:p>
    <w:p>
      <w:pPr>
        <w:spacing w:after="80"/>
      </w:pPr>
      <w:r>
        <w:rPr>
          <w:sz w:val="17"/>
        </w:rPr>
        <w:t>Last Row data limitations: https://github.com/Friends-of-Tracking-Data-FoTD/Last-Row</w:t>
      </w:r>
    </w:p>
    <w:p>
      <w:pPr>
        <w:spacing w:after="80"/>
      </w:pPr>
      <w:r>
        <w:rPr>
          <w:sz w:val="17"/>
        </w:rPr>
        <w:t>Python virtual environments: https://docs.python.org/3/library/venv.html</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