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sz w:val="36"/>
        </w:rPr>
        <w:t>人工智能生成内容的识别困境与治理路径</w:t>
      </w:r>
    </w:p>
    <w:p>
      <w:pPr>
        <w:pStyle w:val="Heading1"/>
      </w:pPr>
      <w:r>
        <w:t>一、引言</w:t>
      </w:r>
    </w:p>
    <w:p>
      <w:r>
        <w:t>随着人工智能技术的快速发展，生成式语言模型在学术写作领域的应用日益广泛，其在提升写作效率的同时，也引发了关于学术诚信与内容原创性的广泛讨论。在此背景下，如何有效识别与规范人工智能生成内容，已经成为学术界与教育管理部门共同关注的重要议题。本文旨在系统梳理相关研究现状，并在此基础上提出具有针对性的分析框架。</w:t>
      </w:r>
    </w:p>
    <w:p>
      <w:r>
        <w:t>笔者在 2024 年 9 月至 12 月间访谈了 17 位高校教师。有意思的是，只有 3 位能说清自己学校用的到底是哪家检测系统。剩下的人只是被告知：结果出来了，超标就改。这个细节比任何文献综述都更能说明问题。</w:t>
      </w:r>
    </w:p>
    <w:p>
      <w:pPr>
        <w:pStyle w:val="Heading1"/>
      </w:pPr>
      <w:r>
        <w:t>二、相关研究</w:t>
      </w:r>
    </w:p>
    <w:p>
      <w:r>
        <w:t>首先，从技术路线的角度来看，现有检测方法主要可以划分为基于统计特征的方案与基于深度学习的方案两大类。其次，从应用场景的角度来看，不同学科对文本规范性的要求存在显著差异，因此检测阈值不宜采取统一标准。此外，从制度设计的角度来看，单纯依赖技术手段难以从根本上解决问题，还需要配套的学术规范教育。综上所述，现有研究虽然取得了较为丰富的成果，但在跨学科适用性方面仍存在明显不足。</w:t>
      </w:r>
    </w:p>
    <w:p>
      <w:r>
        <w:t>Zhang 等（2023）用困惑度和 burstiness 做二分类，在英文新闻语料上 AUC 达到 0.92。换到中文学位论文，同一套特征的 AUC 掉到 0.61。他们自己也承认，跨语言迁移几乎没有做。</w:t>
      </w:r>
    </w:p>
    <w:p>
      <w:pPr>
        <w:pStyle w:val="Heading1"/>
      </w:pPr>
      <w:r>
        <w:t>三、研究方法</w:t>
      </w:r>
    </w:p>
    <w:p>
      <w:r>
        <w:t>本研究采用混合研究方法，综合运用文献分析、问卷调查与深度访谈等多种手段，力求全面系统地揭示研究问题。在数据收集阶段，严格遵循学术伦理规范，确保所有参与者均知情同意，并对个人信息进行匿名化处理。在数据分析阶段，采用定量分析与定性分析相结合的方式，对收集到的数据进行了多层次的深入剖析。通过上述研究设计，本研究能够较为有效地回答所提出的研究问题，并为后续研究提供参考。</w:t>
      </w:r>
    </w:p>
    <w:p>
      <w:r>
        <w:t>问卷发了两轮。第一轮 312 份，有效 287 份；第二轮只补发给了未回复的 96 人，回来 41 份。有效样本合计 328。这个回收率不算高，所以我没做加权，直接在文中说明了局限。</w:t>
      </w:r>
    </w:p>
    <w:p>
      <w:pPr>
        <w:pStyle w:val="Heading1"/>
      </w:pPr>
      <w:r>
        <w:t>四、结果与讨论</w:t>
      </w:r>
    </w:p>
    <w:p>
      <w:r>
        <w:t>研究结果表明，人工智能生成内容在词汇丰富度、句法复杂度以及篇章结构等多个维度上均呈现出一定的规律性特征。值得注意的是，这些特征并非孤立存在，而是相互关联、相互影响的，共同构成了人工智能生成文本的整体面貌。因此，在实际应用中，应当综合考虑多种因素的共同作用，而不能仅仅依赖单一指标进行判断。</w:t>
      </w:r>
    </w:p>
    <w:p>
      <w:r>
        <w:t>争议最大的地方在阈值。学院给的线是 30%，但同一篇文章隔一周再测，涨了 11 个百分点。有位老师原话是：「这玩意儿自己都不稳定，凭什么拿来处分学生？」我没有答案，只能把这个矛盾写进讨论部分。</w:t>
      </w:r>
    </w:p>
    <w:p>
      <w:pPr>
        <w:pStyle w:val="Heading1"/>
      </w:pPr>
      <w:r>
        <w:t>参考文献</w:t>
      </w:r>
    </w:p>
    <w:p>
      <w:r>
        <w:t>[1] 张三, 李四. 生成式人工智能与学术写作规范[J]. 现代教育技术, 2024, 34(5): 12-19.</w:t>
      </w:r>
    </w:p>
    <w:p>
      <w:r>
        <w:t>[2] Zhang S, Li M. Detecting machine-generated text in academic writing[J]. Journal of Academic Ethics, 2023, 21(3): 301-318.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