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96687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  <w:t>Схема 1: Основной процесс бронирования отеля (BPMN) Эта схема охватывает путь от намерения до подтверждения брони, показывая взаимодействие между Гостем, нашей Системой туроператора и внешними участниками — Платёжным шлюзом и Системой отеля (CRS).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  <w:t xml:space="preserve"> </w:t>
      </w:r>
    </w:p>
    <w:p w14:paraId="3D717B3B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  <w:drawing>
          <wp:inline distT="0" distB="0" distL="114300" distR="114300">
            <wp:extent cx="5225415" cy="5809615"/>
            <wp:effectExtent l="0" t="0" r="13335" b="635"/>
            <wp:docPr id="1" name="Изображение 1" descr="deepseek_mermaid_20251204_1de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deepseek_mermaid_20251204_1de24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906C72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  <w:t>Пояснения к схеме: Дорожки (Pools): Чётко разделены роли. Процесс происходит в основном в пуле Системы Туроператора. Взаимодействие с внешними системами (платёжный шлюз, CRS отеля) показано как отдельные пулы с точками взаимодействия (пунктирные стрелки). События: Стартовое событие: Гость инициирует процесс. Промежуточные события-сообщения: Уведомления гостю и отелю. Конечные события: Два возможных исхода — успешное завершение или отмена. Задачи (Activities): Основные действия системы. Жёлтым блоком выделен Подпроцесс — детализированная группа задач. Шлюзы (Gateways): Эксклюзивные (ромб с крестом): Принимают решение «или/или» (Да/Нет). Например, проверка доступности, успех платежа. Параллельные (ромб с плюсом): Используются для запуска параллельных действий (не показаны в данной схеме, но могли бы использоваться для одновременной отправки уведомлений гостю и партнёру). Потоки операций: Показывают последовательность. Основной «счастливый путь» выделен жирными стрелками (слева направо). Альтернативные и исключительные потоки (ошибки, отмены) идут вниз. Артефакты: Используется Группа (прямоугольник с пунктирной границей) для визуального выделения подпроцесса</w:t>
      </w:r>
    </w:p>
    <w:p w14:paraId="4CCC7C84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</w:p>
    <w:p w14:paraId="73E8F85A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  <w:t>Схема 2: Детализация подпроцесса «Обработка оплаты» (BPMN) Этот подпроцесс раскрывает логику, скрытую в задаче «Обработка оплаты» на основной схеме.</w:t>
      </w:r>
    </w:p>
    <w:p w14:paraId="67AA1F22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</w:p>
    <w:p w14:paraId="6827780E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  <w:drawing>
          <wp:inline distT="0" distB="0" distL="114300" distR="114300">
            <wp:extent cx="5271135" cy="6521450"/>
            <wp:effectExtent l="0" t="0" r="5715" b="12700"/>
            <wp:docPr id="2" name="Изображение 2" descr="deepseek_mermaid_20251204_3d38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deepseek_mermaid_20251204_3d38f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2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3D21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</w:p>
    <w:p w14:paraId="3E92B3C6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  <w:t>Пояснения к подпроцессу: Развилка на способ оплаты: Первый шлюз разделяет два принципиально разных финансовых сценария. Сценарий «Оплата сейчас»: Включает цикл с повторными попытками при временных ошибках банка (например, недостаточно средств, связь). Учитывается отказ от прохождения 3D-Secure как сознательное действие гостя. Сценарий «Оплата в отеле»: Может включать мягкую авторизацию (блокировку небольшой суммы на карте для её проверки), что является технической задачей, аналогичной оплате. Выходы подпроцесса: Возвращает в основной процесс один из трёх статусов: «Оплачено», «Оплата в отеле» (условно успех) или «Ошибка платежа».</w:t>
      </w:r>
    </w:p>
    <w:p w14:paraId="43D6C2F2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</w:rPr>
      </w:pPr>
    </w:p>
    <w:p w14:paraId="3064869D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</w:pPr>
    </w:p>
    <w:p w14:paraId="7C964CFF">
      <w:pP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ru-RU"/>
        </w:rPr>
        <w:t>Как схемы дополняют ранее сделанное описание: Наглядность для команды: Схемы BPMN — это единый источник истины для разработчиков, аналитиков и тестировщиков. Они исключают разночтения в описании процесса. Выявление точек интеграции: Чётко видны места взаимодействия с внешними системами (платёжный шлюз, CRS), что критично для проектирования API. Идентификация исключительных сценариев: На схеме явно показаны все варианты «плохого пути» (ошибки, отказы, отмены). Это основа для написания тест-кейсов. Оптимизация процесса: Визуализация позволяет увидеть потенциальные узкие места (например, ручное подтверждение отелем) и оценить возможности для дальнейшей автоматизации.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F339C"/>
    <w:rsid w:val="583F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2025-12-04T12:39:00Z</dcterms:created>
  <dc:creator>ragee</dc:creator>
  <cp:lastModifiedBy>ragee</cp:lastModifiedBy>
  <dcterms:modified xsi:type="dcterms:W3CDTF">2025-12-04T12:47:13Z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15CCDE1F41E544B4A1F5038B00B65125_11</vt:lpwstr>
  </property>
</Properties>
</file>