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S2. Descriptive statistics of expected genetic contribution for all individuals and separated by sex.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14"/>
        <w:gridCol w:w="597"/>
        <w:gridCol w:w="804"/>
        <w:gridCol w:w="988"/>
        <w:gridCol w:w="652"/>
        <w:gridCol w:w="658"/>
        <w:gridCol w:w="762"/>
        <w:gridCol w:w="548"/>
        <w:gridCol w:w="652"/>
      </w:tblGrid>
      <w:tr>
        <w:trPr>
          <w:trHeight w:val="45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</w:tr>
      <w:tr>
        <w:trPr>
          <w:trHeight w:val="42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4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2026-04-22T19:34:19Z</dcterms:modified>
  <cp:category/>
</cp:coreProperties>
</file>