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rtl w:val="0"/>
        </w:rPr>
        <w:t xml:space="preserve">Research Proposal</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Impact of Spatial-Derived Variables on Jeonse Price Prediction in Buk-gu, Pohang</w:t>
      </w:r>
    </w:p>
    <w:p w:rsidR="00000000" w:rsidDel="00000000" w:rsidP="00000000" w:rsidRDefault="00000000" w:rsidRPr="00000000" w14:paraId="00000003">
      <w:pPr>
        <w:spacing w:after="320" w:before="80"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기계학습개론 5교시 분반 </w:t>
      </w:r>
      <w:r w:rsidDel="00000000" w:rsidR="00000000" w:rsidRPr="00000000">
        <w:rPr>
          <w:rFonts w:ascii="Gungsuh" w:cs="Gungsuh" w:eastAsia="Gungsuh" w:hAnsi="Gungsuh"/>
          <w:rtl w:val="0"/>
        </w:rPr>
        <w:t xml:space="preserve">Team 호재호</w:t>
      </w:r>
    </w:p>
    <w:p w:rsidR="00000000" w:rsidDel="00000000" w:rsidP="00000000" w:rsidRDefault="00000000" w:rsidRPr="00000000" w14:paraId="00000004">
      <w:pPr>
        <w:spacing w:after="320" w:before="80"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22100555 이재호 22100372  서호재 22200392 손현건 22300533 이세리 22400264 박서연</w:t>
      </w:r>
    </w:p>
    <w:p w:rsidR="00000000" w:rsidDel="00000000" w:rsidP="00000000" w:rsidRDefault="00000000" w:rsidRPr="00000000" w14:paraId="0000000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480" w:lineRule="auto"/>
        <w:rPr>
          <w:rFonts w:ascii="Times New Roman" w:cs="Times New Roman" w:eastAsia="Times New Roman" w:hAnsi="Times New Roman"/>
          <w:b w:val="1"/>
          <w:bCs w:val="1"/>
        </w:rPr>
      </w:pPr>
      <w:bookmarkStart w:colFirst="0" w:colLast="0" w:name="_v0b7m04v391f" w:id="0"/>
      <w:bookmarkEnd w:id="0"/>
      <w:r w:rsidDel="00000000" w:rsidR="00000000" w:rsidRPr="00000000">
        <w:rPr>
          <w:rFonts w:ascii="Times New Roman" w:cs="Times New Roman" w:eastAsia="Times New Roman" w:hAnsi="Times New Roman"/>
          <w:b w:val="1"/>
          <w:bCs w:val="1"/>
          <w:rtl w:val="0"/>
        </w:rPr>
        <w:t xml:space="preserve">1. Topic</w:t>
      </w:r>
    </w:p>
    <w:p w:rsidR="00000000" w:rsidDel="00000000" w:rsidP="00000000" w:rsidRDefault="00000000" w:rsidRPr="00000000" w14:paraId="00000006">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examines whether area-level spatially derived variables — specifically park density, school infrastructure, and coastal proximity at the administrative dong level — improve jeonse deposit prediction accuracy in Buk-gu, Pohang. Three machine learning models (Ridge Regression, Random Forest, XGBoost) are trained on two feature configurations: one using standard apartment attributes only, and one augmented with the spatial variables described above. The comparison between the two configurations determines whether spatial context contributes meaningfully to prediction performance in a non-metropolitan Korean housing market.</w:t>
      </w:r>
    </w:p>
    <w:p w:rsidR="00000000" w:rsidDel="00000000" w:rsidP="00000000" w:rsidRDefault="00000000" w:rsidRPr="00000000" w14:paraId="00000007">
      <w:pPr>
        <w:spacing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480" w:lineRule="auto"/>
        <w:rPr>
          <w:rFonts w:ascii="Times New Roman" w:cs="Times New Roman" w:eastAsia="Times New Roman" w:hAnsi="Times New Roman"/>
          <w:b w:val="1"/>
          <w:bCs w:val="1"/>
        </w:rPr>
      </w:pPr>
      <w:bookmarkStart w:colFirst="0" w:colLast="0" w:name="_57xo11pl0vxz" w:id="1"/>
      <w:bookmarkEnd w:id="1"/>
      <w:r w:rsidDel="00000000" w:rsidR="00000000" w:rsidRPr="00000000">
        <w:rPr>
          <w:rFonts w:ascii="Times New Roman" w:cs="Times New Roman" w:eastAsia="Times New Roman" w:hAnsi="Times New Roman"/>
          <w:b w:val="1"/>
          <w:bCs w:val="1"/>
          <w:rtl w:val="0"/>
        </w:rPr>
        <w:t xml:space="preserve">2. Research Necessity</w:t>
      </w:r>
    </w:p>
    <w:p w:rsidR="00000000" w:rsidDel="00000000" w:rsidP="00000000" w:rsidRDefault="00000000" w:rsidRPr="00000000" w14:paraId="0000000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Jeonse prices are a primary indicator of housing affordability in Korea, and sustained price increases over recent years have heightened demand for reliable prediction models. Existing approaches largely center on physical apartment characteristics and macroeconomic supply-demand variables, with limited attention to the spatial environment surrounding a property.</w:t>
      </w:r>
    </w:p>
    <w:p w:rsidR="00000000" w:rsidDel="00000000" w:rsidP="00000000" w:rsidRDefault="00000000" w:rsidRPr="00000000" w14:paraId="0000000A">
      <w:pPr>
        <w:spacing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Neighborhood-level amenities — the presence of parks, the density of schools by level, and proximity to the coastline — may shape jeonse prices through their effect on residential desirability, yet they remain absent from most ML-based prediction models. Buk-gu, Pohang, as a mid-sized coastal industrial city, offers a spatial structure distinct from Seoul: dispersed green space, distributed educational facilities, and a defined coastline that likely influences local housing preferences differently than the metropolitan context that dominates the existing literature.</w:t>
      </w:r>
    </w:p>
    <w:p w:rsidR="00000000" w:rsidDel="00000000" w:rsidP="00000000" w:rsidRDefault="00000000" w:rsidRPr="00000000" w14:paraId="0000000C">
      <w:pPr>
        <w:spacing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Incorporating these area-level spatial features into a comparative ML framework allows this study to test whether the predictive gap they represent is empirically meaningful, and to quantify which spatial dimensions carry the most explanatory weight.</w:t>
      </w:r>
    </w:p>
    <w:p w:rsidR="00000000" w:rsidDel="00000000" w:rsidP="00000000" w:rsidRDefault="00000000" w:rsidRPr="00000000" w14:paraId="0000000E">
      <w:pPr>
        <w:spacing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F">
      <w:pPr>
        <w:pStyle w:val="Heading2"/>
        <w:keepNext w:val="0"/>
        <w:keepLines w:val="0"/>
        <w:spacing w:after="100" w:before="320" w:lineRule="auto"/>
        <w:rPr>
          <w:rFonts w:ascii="Times New Roman" w:cs="Times New Roman" w:eastAsia="Times New Roman" w:hAnsi="Times New Roman"/>
          <w:b w:val="1"/>
          <w:bCs w:val="1"/>
          <w:sz w:val="28"/>
          <w:szCs w:val="28"/>
        </w:rPr>
      </w:pPr>
      <w:bookmarkStart w:colFirst="0" w:colLast="0" w:name="_jfv1h3qes75" w:id="2"/>
      <w:bookmarkEnd w:id="2"/>
      <w:r w:rsidDel="00000000" w:rsidR="00000000" w:rsidRPr="00000000">
        <w:rPr>
          <w:rFonts w:ascii="Times New Roman" w:cs="Times New Roman" w:eastAsia="Times New Roman" w:hAnsi="Times New Roman"/>
          <w:b w:val="1"/>
          <w:bCs w:val="1"/>
          <w:sz w:val="28"/>
          <w:szCs w:val="28"/>
          <w:rtl w:val="0"/>
        </w:rPr>
        <w:t xml:space="preserve">2-1. Literature Review</w:t>
      </w:r>
    </w:p>
    <w:p w:rsidR="00000000" w:rsidDel="00000000" w:rsidP="00000000" w:rsidRDefault="00000000" w:rsidRPr="00000000" w14:paraId="00000010">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1">
      <w:pPr>
        <w:pStyle w:val="Heading3"/>
        <w:keepNext w:val="0"/>
        <w:keepLines w:val="0"/>
        <w:spacing w:before="220" w:lineRule="auto"/>
        <w:rPr>
          <w:rFonts w:ascii="Times New Roman" w:cs="Times New Roman" w:eastAsia="Times New Roman" w:hAnsi="Times New Roman"/>
          <w:b w:val="1"/>
          <w:bCs w:val="1"/>
          <w:color w:val="000000"/>
          <w:sz w:val="24"/>
          <w:szCs w:val="24"/>
        </w:rPr>
      </w:pPr>
      <w:bookmarkStart w:colFirst="0" w:colLast="0" w:name="_kmk4zxi5ltxu" w:id="3"/>
      <w:bookmarkEnd w:id="3"/>
      <w:r w:rsidDel="00000000" w:rsidR="00000000" w:rsidRPr="00000000">
        <w:rPr>
          <w:rFonts w:ascii="Times New Roman" w:cs="Times New Roman" w:eastAsia="Times New Roman" w:hAnsi="Times New Roman"/>
          <w:b w:val="1"/>
          <w:bCs w:val="1"/>
          <w:color w:val="000000"/>
          <w:sz w:val="24"/>
          <w:szCs w:val="24"/>
          <w:rtl w:val="0"/>
        </w:rPr>
        <w:t xml:space="preserve">Chun, Lee &amp; Lee (2025)</w:t>
      </w:r>
    </w:p>
    <w:p w:rsidR="00000000" w:rsidDel="00000000" w:rsidP="00000000" w:rsidRDefault="00000000" w:rsidRPr="00000000" w14:paraId="00000012">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Chun et al. (2025) analyzed 61,593 Seoul apartment transaction records using LGBM, XGBoost, and GBDT, with SHAP applied to explain variable contributions. The best-performing model (XGBoost, R² = 0.917, MAE = 134.97, RMSE = 191.33) identified heating method, year of construction, and distance to schools and subway station as the highest-importance predictors. All spatial variables were measured at the property level — the distance from each individual transaction record to the nearest facility — rather than aggregated across the surrounding neighborhood. Park density, school counts per administrative unit, and coastal characteristics were not incorporated.</w:t>
      </w:r>
    </w:p>
    <w:p w:rsidR="00000000" w:rsidDel="00000000" w:rsidP="00000000" w:rsidRDefault="00000000" w:rsidRPr="00000000" w14:paraId="00000013">
      <w:pPr>
        <w:spacing w:after="80" w:before="8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Chun, H.J., Lee, U.H., &amp; Lee, B.G. (2025). Predicting Housing Price in Seoul using Explainable AI (XAI) and Machine Learning. KSII Transactions on Internet and Information Systems, 19(4), 1077–1096. DOI: 10.3837/tiis.2025.04.002</w:t>
      </w:r>
    </w:p>
    <w:p w:rsidR="00000000" w:rsidDel="00000000" w:rsidP="00000000" w:rsidRDefault="00000000" w:rsidRPr="00000000" w14:paraId="00000014">
      <w:pPr>
        <w:spacing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5">
      <w:pPr>
        <w:pStyle w:val="Heading3"/>
        <w:keepNext w:val="0"/>
        <w:keepLines w:val="0"/>
        <w:spacing w:before="220" w:lineRule="auto"/>
        <w:rPr>
          <w:rFonts w:ascii="Times New Roman" w:cs="Times New Roman" w:eastAsia="Times New Roman" w:hAnsi="Times New Roman"/>
          <w:b w:val="1"/>
          <w:bCs w:val="1"/>
          <w:color w:val="000000"/>
          <w:sz w:val="24"/>
          <w:szCs w:val="24"/>
        </w:rPr>
      </w:pPr>
      <w:bookmarkStart w:colFirst="0" w:colLast="0" w:name="_4vfnaej9ggm9" w:id="4"/>
      <w:bookmarkEnd w:id="4"/>
      <w:r w:rsidDel="00000000" w:rsidR="00000000" w:rsidRPr="00000000">
        <w:rPr>
          <w:rFonts w:ascii="Gungsuh" w:cs="Gungsuh" w:eastAsia="Gungsuh" w:hAnsi="Gungsuh"/>
          <w:b w:val="1"/>
          <w:bCs w:val="1"/>
          <w:color w:val="000000"/>
          <w:sz w:val="24"/>
          <w:szCs w:val="24"/>
          <w:rtl w:val="0"/>
        </w:rPr>
        <w:t xml:space="preserve">나성호 &amp; 김종우 (Na &amp; Kim, 2019)</w:t>
      </w:r>
    </w:p>
    <w:p w:rsidR="00000000" w:rsidDel="00000000" w:rsidP="00000000" w:rsidRDefault="00000000" w:rsidRPr="00000000" w14:paraId="00000016">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 &amp; Kim (2019) compared MLR, Random Forest, and SVM for predicting apartment sales prices in Gangnam-gu, Seoul, using public data from MOLIT. Feature engineering with property-level categorical dummies — floor range, contract type — improved prediction accuracy and confirmed ML models’ advantage over linear regression. The study did not construct area-level spatial features; the distinction between an individual apartment’s proximity to a park and the overall park density of its neighborhood was not addressed.</w:t>
      </w:r>
    </w:p>
    <w:p w:rsidR="00000000" w:rsidDel="00000000" w:rsidP="00000000" w:rsidRDefault="00000000" w:rsidRPr="00000000" w14:paraId="00000017">
      <w:pPr>
        <w:spacing w:after="80" w:before="80" w:lineRule="auto"/>
        <w:rPr>
          <w:rFonts w:ascii="Times New Roman" w:cs="Times New Roman" w:eastAsia="Times New Roman" w:hAnsi="Times New Roman"/>
          <w:i w:val="1"/>
          <w:iCs w:val="1"/>
          <w:sz w:val="20"/>
          <w:szCs w:val="20"/>
        </w:rPr>
      </w:pPr>
      <w:r w:rsidDel="00000000" w:rsidR="00000000" w:rsidRPr="00000000">
        <w:rPr>
          <w:rFonts w:ascii="Gungsuh" w:cs="Gungsuh" w:eastAsia="Gungsuh" w:hAnsi="Gungsuh"/>
          <w:i w:val="1"/>
          <w:iCs w:val="1"/>
          <w:sz w:val="20"/>
          <w:szCs w:val="20"/>
          <w:rtl w:val="0"/>
        </w:rPr>
        <w:t xml:space="preserve">나성호 &amp; 김종우 (2019). 공공데이터를 활용한 아파트 매매 가격 결정 모형의 예측 능력 비교: 서울 강남구 지역을 중심으로. 한국지적정보학회지, 21(1), 3–12. DOI: 10.46416/JKCIA.2019.04.21.1.3</w:t>
      </w:r>
    </w:p>
    <w:p w:rsidR="00000000" w:rsidDel="00000000" w:rsidP="00000000" w:rsidRDefault="00000000" w:rsidRPr="00000000" w14:paraId="00000018">
      <w:pPr>
        <w:spacing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9">
      <w:pPr>
        <w:pStyle w:val="Heading3"/>
        <w:keepNext w:val="0"/>
        <w:keepLines w:val="0"/>
        <w:spacing w:before="220" w:lineRule="auto"/>
        <w:rPr>
          <w:rFonts w:ascii="Times New Roman" w:cs="Times New Roman" w:eastAsia="Times New Roman" w:hAnsi="Times New Roman"/>
          <w:b w:val="1"/>
          <w:bCs w:val="1"/>
          <w:color w:val="000000"/>
          <w:sz w:val="24"/>
          <w:szCs w:val="24"/>
        </w:rPr>
      </w:pPr>
      <w:bookmarkStart w:colFirst="0" w:colLast="0" w:name="_b7swlbms2wjj" w:id="5"/>
      <w:bookmarkEnd w:id="5"/>
      <w:r w:rsidDel="00000000" w:rsidR="00000000" w:rsidRPr="00000000">
        <w:rPr>
          <w:rFonts w:ascii="Gungsuh" w:cs="Gungsuh" w:eastAsia="Gungsuh" w:hAnsi="Gungsuh"/>
          <w:b w:val="1"/>
          <w:bCs w:val="1"/>
          <w:color w:val="000000"/>
          <w:sz w:val="24"/>
          <w:szCs w:val="24"/>
          <w:rtl w:val="0"/>
        </w:rPr>
        <w:t xml:space="preserve">홍하연 &amp; 이주형 (Hong &amp; Lee, 2015)</w:t>
      </w:r>
    </w:p>
    <w:p w:rsidR="00000000" w:rsidDel="00000000" w:rsidP="00000000" w:rsidRDefault="00000000" w:rsidRPr="00000000" w14:paraId="0000001A">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Hong &amp; Lee (2015) examined spatio-temporal variation in apartment price determinants across Seoul’s 25 districts using Geographically and Temporally Weighted Regression (GTWR). Their results confirmed that the factors shaping housing prices vary significantly across locations and over time, which supports the inclusion of spatial context in price prediction. The limitation relevant to this study is methodological: GTWR produces location-specific regression coefficients — model-dependent, spatially continuous parameters that cannot be directly repurposed as discrete input features for ML pipelines without substantial transformation, and no reviewed study performs that translation.</w:t>
      </w:r>
    </w:p>
    <w:p w:rsidR="00000000" w:rsidDel="00000000" w:rsidP="00000000" w:rsidRDefault="00000000" w:rsidRPr="00000000" w14:paraId="0000001B">
      <w:pPr>
        <w:spacing w:after="80" w:before="80" w:lineRule="auto"/>
        <w:rPr>
          <w:rFonts w:ascii="Times New Roman" w:cs="Times New Roman" w:eastAsia="Times New Roman" w:hAnsi="Times New Roman"/>
          <w:i w:val="1"/>
          <w:iCs w:val="1"/>
          <w:sz w:val="20"/>
          <w:szCs w:val="20"/>
        </w:rPr>
      </w:pPr>
      <w:r w:rsidDel="00000000" w:rsidR="00000000" w:rsidRPr="00000000">
        <w:rPr>
          <w:rFonts w:ascii="Gungsuh" w:cs="Gungsuh" w:eastAsia="Gungsuh" w:hAnsi="Gungsuh"/>
          <w:i w:val="1"/>
          <w:iCs w:val="1"/>
          <w:sz w:val="20"/>
          <w:szCs w:val="20"/>
          <w:rtl w:val="0"/>
        </w:rPr>
        <w:t xml:space="preserve">홍하연 &amp; 이주형 (2015). 아파트 가겝에 영향을 미치는 요인의 시공간적 영향력 변화 연구: 서울시 25개 구를 대상으로. 서울도시연구, 16(2), 87–108.</w:t>
      </w:r>
    </w:p>
    <w:p w:rsidR="00000000" w:rsidDel="00000000" w:rsidP="00000000" w:rsidRDefault="00000000" w:rsidRPr="00000000" w14:paraId="0000001C">
      <w:pPr>
        <w:spacing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D">
      <w:pPr>
        <w:pStyle w:val="Heading3"/>
        <w:keepNext w:val="0"/>
        <w:keepLines w:val="0"/>
        <w:spacing w:before="220" w:lineRule="auto"/>
        <w:rPr>
          <w:rFonts w:ascii="Times New Roman" w:cs="Times New Roman" w:eastAsia="Times New Roman" w:hAnsi="Times New Roman"/>
          <w:b w:val="1"/>
          <w:bCs w:val="1"/>
          <w:color w:val="000000"/>
          <w:sz w:val="24"/>
          <w:szCs w:val="24"/>
        </w:rPr>
      </w:pPr>
      <w:bookmarkStart w:colFirst="0" w:colLast="0" w:name="_gpob6x4eqfuq" w:id="6"/>
      <w:bookmarkEnd w:id="6"/>
      <w:r w:rsidDel="00000000" w:rsidR="00000000" w:rsidRPr="00000000">
        <w:rPr>
          <w:rFonts w:ascii="Times New Roman" w:cs="Times New Roman" w:eastAsia="Times New Roman" w:hAnsi="Times New Roman"/>
          <w:b w:val="1"/>
          <w:bCs w:val="1"/>
          <w:color w:val="000000"/>
          <w:sz w:val="24"/>
          <w:szCs w:val="24"/>
          <w:rtl w:val="0"/>
        </w:rPr>
        <w:t xml:space="preserve">Additional Studies</w:t>
      </w:r>
    </w:p>
    <w:p w:rsidR="00000000" w:rsidDel="00000000" w:rsidP="00000000" w:rsidRDefault="00000000" w:rsidRPr="00000000" w14:paraId="0000001E">
      <w:pPr>
        <w:spacing w:after="80" w:before="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이다솔 et al. (2023) predicted apartment sales prices in Daejeon using jeonse transaction volume and price as input features alongside standard apartment attributes. Despite extending well beyond the conventional feature set, park counts, school density, and coastal proximity were not modeled (한국콘텐츠학회 논문지, 23(11), 400–413). 배성완 &amp; 유정석(2018) compared eight ML and time-series models for predicting the national apartment price index, establishing ML superiority over time-series approaches, but operated at the aggregate index level with macroeconomic inputs (주택연구, 26(1), 107–133). 김이환 et al. (2022) benchmarked Random Forest and ANN against hedonic models for Seoul apartment price index prediction; even this direct engagement with the hedonic tradition — which routinely incorporates locational amenities — did not introduce area-level spatial features (부동산분석, 8(3), 1–29).</w:t>
      </w:r>
    </w:p>
    <w:p w:rsidR="00000000" w:rsidDel="00000000" w:rsidP="00000000" w:rsidRDefault="00000000" w:rsidRPr="00000000" w14:paraId="0000001F">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Across all six studies, jeonse deposit is not used as the dependent variable.</w:t>
      </w:r>
    </w:p>
    <w:p w:rsidR="00000000" w:rsidDel="00000000" w:rsidP="00000000" w:rsidRDefault="00000000" w:rsidRPr="00000000" w14:paraId="00000020">
      <w:pPr>
        <w:spacing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1">
      <w:pPr>
        <w:pStyle w:val="Heading3"/>
        <w:keepNext w:val="0"/>
        <w:keepLines w:val="0"/>
        <w:spacing w:before="220" w:lineRule="auto"/>
        <w:rPr>
          <w:rFonts w:ascii="Times New Roman" w:cs="Times New Roman" w:eastAsia="Times New Roman" w:hAnsi="Times New Roman"/>
          <w:b w:val="1"/>
          <w:bCs w:val="1"/>
          <w:color w:val="000000"/>
          <w:sz w:val="24"/>
          <w:szCs w:val="24"/>
        </w:rPr>
      </w:pPr>
      <w:bookmarkStart w:colFirst="0" w:colLast="0" w:name="_k24m5o7025k7" w:id="7"/>
      <w:bookmarkEnd w:id="7"/>
      <w:r w:rsidDel="00000000" w:rsidR="00000000" w:rsidRPr="00000000">
        <w:rPr>
          <w:rFonts w:ascii="Times New Roman" w:cs="Times New Roman" w:eastAsia="Times New Roman" w:hAnsi="Times New Roman"/>
          <w:b w:val="1"/>
          <w:bCs w:val="1"/>
          <w:color w:val="000000"/>
          <w:sz w:val="24"/>
          <w:szCs w:val="24"/>
          <w:rtl w:val="0"/>
        </w:rPr>
        <w:t xml:space="preserve">Summary of Reviewed Studies</w:t>
      </w:r>
    </w:p>
    <w:tbl>
      <w:tblPr>
        <w:tblStyle w:val="Table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74.4869250894203"/>
        <w:gridCol w:w="1564.615209615652"/>
        <w:gridCol w:w="1564.615209615652"/>
        <w:gridCol w:w="1666.0254546833335"/>
        <w:gridCol w:w="1955.7690120195653"/>
        <w:tblGridChange w:id="0">
          <w:tblGrid>
            <w:gridCol w:w="2274.4869250894203"/>
            <w:gridCol w:w="1564.615209615652"/>
            <w:gridCol w:w="1564.615209615652"/>
            <w:gridCol w:w="1666.0254546833335"/>
            <w:gridCol w:w="1955.7690120195653"/>
          </w:tblGrid>
        </w:tblGridChange>
      </w:tblGrid>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shd w:fill="2b2b2b" w:val="clear"/>
            <w:tcMar>
              <w:top w:w="80.0" w:type="dxa"/>
              <w:left w:w="120.0" w:type="dxa"/>
              <w:bottom w:w="80.0" w:type="dxa"/>
              <w:right w:w="120.0" w:type="dxa"/>
            </w:tcMar>
            <w:vAlign w:val="top"/>
          </w:tcPr>
          <w:p w:rsidR="00000000" w:rsidDel="00000000" w:rsidP="00000000" w:rsidRDefault="00000000" w:rsidRPr="00000000" w14:paraId="00000022">
            <w:pPr>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Study</w:t>
            </w:r>
          </w:p>
        </w:tc>
        <w:tc>
          <w:tcPr>
            <w:tcBorders>
              <w:top w:color="000000" w:space="0" w:sz="8" w:val="single"/>
              <w:bottom w:color="000000" w:space="0" w:sz="8" w:val="single"/>
              <w:right w:color="000000" w:space="0" w:sz="8" w:val="single"/>
            </w:tcBorders>
            <w:shd w:fill="2b2b2b" w:val="clear"/>
            <w:tcMar>
              <w:top w:w="80.0" w:type="dxa"/>
              <w:left w:w="120.0" w:type="dxa"/>
              <w:bottom w:w="80.0" w:type="dxa"/>
              <w:right w:w="120.0" w:type="dxa"/>
            </w:tcMar>
            <w:vAlign w:val="top"/>
          </w:tcPr>
          <w:p w:rsidR="00000000" w:rsidDel="00000000" w:rsidP="00000000" w:rsidRDefault="00000000" w:rsidRPr="00000000" w14:paraId="00000023">
            <w:pPr>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Method</w:t>
            </w:r>
          </w:p>
        </w:tc>
        <w:tc>
          <w:tcPr>
            <w:tcBorders>
              <w:top w:color="000000" w:space="0" w:sz="8" w:val="single"/>
              <w:bottom w:color="000000" w:space="0" w:sz="8" w:val="single"/>
              <w:right w:color="000000" w:space="0" w:sz="8" w:val="single"/>
            </w:tcBorders>
            <w:shd w:fill="2b2b2b" w:val="clear"/>
            <w:tcMar>
              <w:top w:w="80.0" w:type="dxa"/>
              <w:left w:w="120.0" w:type="dxa"/>
              <w:bottom w:w="80.0" w:type="dxa"/>
              <w:right w:w="120.0" w:type="dxa"/>
            </w:tcMar>
            <w:vAlign w:val="top"/>
          </w:tcPr>
          <w:p w:rsidR="00000000" w:rsidDel="00000000" w:rsidP="00000000" w:rsidRDefault="00000000" w:rsidRPr="00000000" w14:paraId="00000024">
            <w:pPr>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Region</w:t>
            </w:r>
          </w:p>
        </w:tc>
        <w:tc>
          <w:tcPr>
            <w:tcBorders>
              <w:top w:color="000000" w:space="0" w:sz="8" w:val="single"/>
              <w:bottom w:color="000000" w:space="0" w:sz="8" w:val="single"/>
              <w:right w:color="000000" w:space="0" w:sz="8" w:val="single"/>
            </w:tcBorders>
            <w:shd w:fill="2b2b2b" w:val="clear"/>
            <w:tcMar>
              <w:top w:w="80.0" w:type="dxa"/>
              <w:left w:w="120.0" w:type="dxa"/>
              <w:bottom w:w="80.0" w:type="dxa"/>
              <w:right w:w="120.0" w:type="dxa"/>
            </w:tcMar>
            <w:vAlign w:val="top"/>
          </w:tcPr>
          <w:p w:rsidR="00000000" w:rsidDel="00000000" w:rsidP="00000000" w:rsidRDefault="00000000" w:rsidRPr="00000000" w14:paraId="00000025">
            <w:pPr>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Dependent Variable</w:t>
            </w:r>
          </w:p>
        </w:tc>
        <w:tc>
          <w:tcPr>
            <w:tcBorders>
              <w:top w:color="000000" w:space="0" w:sz="8" w:val="single"/>
              <w:bottom w:color="000000" w:space="0" w:sz="8" w:val="single"/>
              <w:right w:color="000000" w:space="0" w:sz="8" w:val="single"/>
            </w:tcBorders>
            <w:shd w:fill="2b2b2b" w:val="clear"/>
            <w:tcMar>
              <w:top w:w="80.0" w:type="dxa"/>
              <w:left w:w="120.0" w:type="dxa"/>
              <w:bottom w:w="80.0" w:type="dxa"/>
              <w:right w:w="120.0" w:type="dxa"/>
            </w:tcMar>
            <w:vAlign w:val="top"/>
          </w:tcPr>
          <w:p w:rsidR="00000000" w:rsidDel="00000000" w:rsidP="00000000" w:rsidRDefault="00000000" w:rsidRPr="00000000" w14:paraId="00000026">
            <w:pPr>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Area-Level Spatial Features</w:t>
            </w:r>
          </w:p>
        </w:tc>
      </w:tr>
      <w:tr>
        <w:trPr>
          <w:cantSplit w:val="0"/>
          <w:trHeight w:val="855" w:hRule="atLeast"/>
          <w:tblHeader w:val="0"/>
        </w:trPr>
        <w:tc>
          <w:tcPr>
            <w:tcBorders>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2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Chun, Lee &amp; Lee (2025) KSII Transactions 19(4)</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LGBM / XGBoost / GBDT + SHAP</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2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Seoul</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Sales price</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2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r>
      <w:tr>
        <w:trPr>
          <w:cantSplit w:val="0"/>
          <w:trHeight w:val="660" w:hRule="atLeast"/>
          <w:tblHeader w:val="0"/>
        </w:trPr>
        <w:tc>
          <w:tcPr>
            <w:tcBorders>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2C">
            <w:pPr>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Na &amp; Kim (2019) 한국지적정보학회지 21(1)</w:t>
            </w:r>
          </w:p>
        </w:tc>
        <w:tc>
          <w:tcPr>
            <w:tcBorders>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2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MLR / RF / SVM</w:t>
            </w:r>
          </w:p>
        </w:tc>
        <w:tc>
          <w:tcPr>
            <w:tcBorders>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2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Seoul (Gangnam)</w:t>
            </w:r>
          </w:p>
        </w:tc>
        <w:tc>
          <w:tcPr>
            <w:tcBorders>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2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Sales price</w:t>
            </w:r>
          </w:p>
        </w:tc>
        <w:tc>
          <w:tcPr>
            <w:tcBorders>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3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r>
      <w:tr>
        <w:trPr>
          <w:cantSplit w:val="0"/>
          <w:trHeight w:val="660" w:hRule="atLeast"/>
          <w:tblHeader w:val="0"/>
        </w:trPr>
        <w:tc>
          <w:tcPr>
            <w:tcBorders>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31">
            <w:pPr>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Hong &amp; Lee (2015) 서울도시연구 16(2)</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3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GTWR</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3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Seoul (25 districts)</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3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Price determinants</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3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r>
      <w:tr>
        <w:trPr>
          <w:cantSplit w:val="0"/>
          <w:trHeight w:val="660" w:hRule="atLeast"/>
          <w:tblHeader w:val="0"/>
        </w:trPr>
        <w:tc>
          <w:tcPr>
            <w:tcBorders>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36">
            <w:pPr>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이다솔 외 (2023) 한국콘텐츠학회지 23(11)</w:t>
            </w:r>
          </w:p>
        </w:tc>
        <w:tc>
          <w:tcPr>
            <w:tcBorders>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3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 / DNN / Reg.</w:t>
            </w:r>
          </w:p>
        </w:tc>
        <w:tc>
          <w:tcPr>
            <w:tcBorders>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Daejeon</w:t>
            </w:r>
          </w:p>
        </w:tc>
        <w:tc>
          <w:tcPr>
            <w:tcBorders>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3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Sales price</w:t>
            </w:r>
          </w:p>
        </w:tc>
        <w:tc>
          <w:tcPr>
            <w:tcBorders>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3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r>
      <w:tr>
        <w:trPr>
          <w:cantSplit w:val="0"/>
          <w:trHeight w:val="660" w:hRule="atLeast"/>
          <w:tblHeader w:val="0"/>
        </w:trPr>
        <w:tc>
          <w:tcPr>
            <w:tcBorders>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3B">
            <w:pPr>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배성완 &amp; 유정석 (2018) 주택연구 26(1)</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SVM / RF / DNN / LSTM</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3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Seoul (national)</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Price index</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3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r>
      <w:tr>
        <w:trPr>
          <w:cantSplit w:val="0"/>
          <w:trHeight w:val="660" w:hRule="atLeast"/>
          <w:tblHeader w:val="0"/>
        </w:trPr>
        <w:tc>
          <w:tcPr>
            <w:tcBorders>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40">
            <w:pPr>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김이환 외 (2022) 부동산분석 8(3)</w:t>
            </w:r>
          </w:p>
        </w:tc>
        <w:tc>
          <w:tcPr>
            <w:tcBorders>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4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 / ANN vs. Hedonic</w:t>
            </w:r>
          </w:p>
        </w:tc>
        <w:tc>
          <w:tcPr>
            <w:tcBorders>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Seoul</w:t>
            </w:r>
          </w:p>
        </w:tc>
        <w:tc>
          <w:tcPr>
            <w:tcBorders>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Price index</w:t>
            </w:r>
          </w:p>
        </w:tc>
        <w:tc>
          <w:tcPr>
            <w:tcBorders>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r>
    </w:tbl>
    <w:p w:rsidR="00000000" w:rsidDel="00000000" w:rsidP="00000000" w:rsidRDefault="00000000" w:rsidRPr="00000000" w14:paraId="00000045">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6">
      <w:pPr>
        <w:spacing w:after="80" w:before="8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"Area-Level Spatial Features" = dong-level aggregated variables (park count, school density by level, coastal proximity dummy), distinct from property-level distance measures.</w:t>
      </w:r>
    </w:p>
    <w:p w:rsidR="00000000" w:rsidDel="00000000" w:rsidP="00000000" w:rsidRDefault="00000000" w:rsidRPr="00000000" w14:paraId="00000047">
      <w:pPr>
        <w:spacing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8">
      <w:pPr>
        <w:pStyle w:val="Heading2"/>
        <w:keepNext w:val="0"/>
        <w:keepLines w:val="0"/>
        <w:spacing w:after="100" w:before="320" w:lineRule="auto"/>
        <w:rPr>
          <w:rFonts w:ascii="Times New Roman" w:cs="Times New Roman" w:eastAsia="Times New Roman" w:hAnsi="Times New Roman"/>
          <w:b w:val="1"/>
          <w:bCs w:val="1"/>
          <w:sz w:val="28"/>
          <w:szCs w:val="28"/>
        </w:rPr>
      </w:pPr>
      <w:bookmarkStart w:colFirst="0" w:colLast="0" w:name="_4k8xy1fl05mz" w:id="8"/>
      <w:bookmarkEnd w:id="8"/>
      <w:r w:rsidDel="00000000" w:rsidR="00000000" w:rsidRPr="00000000">
        <w:rPr>
          <w:rFonts w:ascii="Times New Roman" w:cs="Times New Roman" w:eastAsia="Times New Roman" w:hAnsi="Times New Roman"/>
          <w:b w:val="1"/>
          <w:bCs w:val="1"/>
          <w:sz w:val="28"/>
          <w:szCs w:val="28"/>
          <w:rtl w:val="0"/>
        </w:rPr>
        <w:t xml:space="preserve">2-2. Research Gap</w:t>
      </w:r>
    </w:p>
    <w:p w:rsidR="00000000" w:rsidDel="00000000" w:rsidP="00000000" w:rsidRDefault="00000000" w:rsidRPr="00000000" w14:paraId="00000049">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A">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reviewed studies share four converging limitations.</w:t>
      </w:r>
    </w:p>
    <w:p w:rsidR="00000000" w:rsidDel="00000000" w:rsidP="00000000" w:rsidRDefault="00000000" w:rsidRPr="00000000" w14:paraId="0000004B">
      <w:pPr>
        <w:spacing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C">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w:t>
      </w:r>
      <w:r w:rsidDel="00000000" w:rsidR="00000000" w:rsidRPr="00000000">
        <w:rPr>
          <w:rFonts w:ascii="Times New Roman" w:cs="Times New Roman" w:eastAsia="Times New Roman" w:hAnsi="Times New Roman"/>
          <w:b w:val="1"/>
          <w:bCs w:val="1"/>
          <w:rtl w:val="0"/>
        </w:rPr>
        <w:t xml:space="preserve">feature engineering remains at the property level.</w:t>
      </w:r>
      <w:r w:rsidDel="00000000" w:rsidR="00000000" w:rsidRPr="00000000">
        <w:rPr>
          <w:rFonts w:ascii="Times New Roman" w:cs="Times New Roman" w:eastAsia="Times New Roman" w:hAnsi="Times New Roman"/>
          <w:rtl w:val="0"/>
        </w:rPr>
        <w:t xml:space="preserve"> Dummy variables and engineered features in Na &amp; Kim (2019) encode individual transaction attributes — floor range, contract type — not the environmental characteristics of the surrounding neighborhood.</w:t>
      </w:r>
    </w:p>
    <w:p w:rsidR="00000000" w:rsidDel="00000000" w:rsidP="00000000" w:rsidRDefault="00000000" w:rsidRPr="00000000" w14:paraId="0000004D">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E">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w:t>
      </w:r>
      <w:r w:rsidDel="00000000" w:rsidR="00000000" w:rsidRPr="00000000">
        <w:rPr>
          <w:rFonts w:ascii="Times New Roman" w:cs="Times New Roman" w:eastAsia="Times New Roman" w:hAnsi="Times New Roman"/>
          <w:b w:val="1"/>
          <w:bCs w:val="1"/>
          <w:rtl w:val="0"/>
        </w:rPr>
        <w:t xml:space="preserve">XAI interpretability has advanced, but area-level spatial feature engineering has not.</w:t>
      </w:r>
      <w:r w:rsidDel="00000000" w:rsidR="00000000" w:rsidRPr="00000000">
        <w:rPr>
          <w:rFonts w:ascii="Times New Roman" w:cs="Times New Roman" w:eastAsia="Times New Roman" w:hAnsi="Times New Roman"/>
          <w:rtl w:val="0"/>
        </w:rPr>
        <w:t xml:space="preserve"> Chun et al. (2025) demonstrate that SHAP can identify which variables drive predictions; however, the spatial variables they examine are property-level distance measures, not aggregated neighborhood counts.</w:t>
      </w:r>
    </w:p>
    <w:p w:rsidR="00000000" w:rsidDel="00000000" w:rsidP="00000000" w:rsidRDefault="00000000" w:rsidRPr="00000000" w14:paraId="0000004F">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0">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 </w:t>
      </w:r>
      <w:r w:rsidDel="00000000" w:rsidR="00000000" w:rsidRPr="00000000">
        <w:rPr>
          <w:rFonts w:ascii="Times New Roman" w:cs="Times New Roman" w:eastAsia="Times New Roman" w:hAnsi="Times New Roman"/>
          <w:b w:val="1"/>
          <w:bCs w:val="1"/>
          <w:rtl w:val="0"/>
        </w:rPr>
        <w:t xml:space="preserve">spatial dependence in housing prices is recognized, but not translated into ML-ready features.</w:t>
      </w:r>
      <w:r w:rsidDel="00000000" w:rsidR="00000000" w:rsidRPr="00000000">
        <w:rPr>
          <w:rFonts w:ascii="Times New Roman" w:cs="Times New Roman" w:eastAsia="Times New Roman" w:hAnsi="Times New Roman"/>
          <w:rtl w:val="0"/>
        </w:rPr>
        <w:t xml:space="preserve"> Hong &amp; Lee (2015) confirm that price determinants vary across space and time. That finding motivates spatial feature inclusion, but GTWR’s location-specific coefficients are structurally incompatible with standard ML feature inputs.</w:t>
      </w:r>
    </w:p>
    <w:p w:rsidR="00000000" w:rsidDel="00000000" w:rsidP="00000000" w:rsidRDefault="00000000" w:rsidRPr="00000000" w14:paraId="00000051">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2">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Fourth, </w:t>
      </w:r>
      <w:r w:rsidDel="00000000" w:rsidR="00000000" w:rsidRPr="00000000">
        <w:rPr>
          <w:rFonts w:ascii="Times New Roman" w:cs="Times New Roman" w:eastAsia="Times New Roman" w:hAnsi="Times New Roman"/>
          <w:b w:val="1"/>
          <w:bCs w:val="1"/>
          <w:rtl w:val="0"/>
        </w:rPr>
        <w:t xml:space="preserve">jeonse deposit prediction is absent from the ML literature entirely.</w:t>
      </w:r>
      <w:r w:rsidDel="00000000" w:rsidR="00000000" w:rsidRPr="00000000">
        <w:rPr>
          <w:rFonts w:ascii="Times New Roman" w:cs="Times New Roman" w:eastAsia="Times New Roman" w:hAnsi="Times New Roman"/>
          <w:rtl w:val="0"/>
        </w:rPr>
        <w:t xml:space="preserve"> All six reviewed studies use sales price or an aggregate price index as the outcome variable. Whether ML models incorporating spatial features can predict jeonse deposit — the primary measure of rental burden for Korean households — has not been tested.</w:t>
      </w:r>
    </w:p>
    <w:p w:rsidR="00000000" w:rsidDel="00000000" w:rsidP="00000000" w:rsidRDefault="00000000" w:rsidRPr="00000000" w14:paraId="00000053">
      <w:pPr>
        <w:spacing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2"/>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25.511811023624"/>
        <w:tblGridChange w:id="0">
          <w:tblGrid>
            <w:gridCol w:w="9025.511811023624"/>
          </w:tblGrid>
        </w:tblGridChange>
      </w:tblGrid>
      <w:tr>
        <w:trPr>
          <w:cantSplit w:val="0"/>
          <w:trHeight w:val="12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280.0" w:type="dxa"/>
              <w:bottom w:w="120.0" w:type="dxa"/>
              <w:right w:w="280.0" w:type="dxa"/>
            </w:tcMar>
            <w:vAlign w:val="top"/>
          </w:tcPr>
          <w:p w:rsidR="00000000" w:rsidDel="00000000" w:rsidP="00000000" w:rsidRDefault="00000000" w:rsidRPr="00000000" w14:paraId="0000005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Existing ML-based housing price studies in Korea lack area-level spatially derived variables capturing neighborhood context, do not target jeonse deposit as the prediction outcome, and have not been applied to a non-metropolitan administrative district. This study addresses all three gaps simultaneously.</w:t>
            </w:r>
          </w:p>
        </w:tc>
      </w:tr>
    </w:tbl>
    <w:p w:rsidR="00000000" w:rsidDel="00000000" w:rsidP="00000000" w:rsidRDefault="00000000" w:rsidRPr="00000000" w14:paraId="00000055">
      <w:pPr>
        <w:spacing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480" w:lineRule="auto"/>
        <w:rPr>
          <w:rFonts w:ascii="Times New Roman" w:cs="Times New Roman" w:eastAsia="Times New Roman" w:hAnsi="Times New Roman"/>
          <w:b w:val="1"/>
          <w:bCs w:val="1"/>
        </w:rPr>
      </w:pPr>
      <w:bookmarkStart w:colFirst="0" w:colLast="0" w:name="_dfhyfo5to2ga" w:id="9"/>
      <w:bookmarkEnd w:id="9"/>
      <w:r w:rsidDel="00000000" w:rsidR="00000000" w:rsidRPr="00000000">
        <w:rPr>
          <w:rFonts w:ascii="Times New Roman" w:cs="Times New Roman" w:eastAsia="Times New Roman" w:hAnsi="Times New Roman"/>
          <w:b w:val="1"/>
          <w:bCs w:val="1"/>
          <w:rtl w:val="0"/>
        </w:rPr>
        <w:t xml:space="preserve">3. Research Question</w:t>
      </w:r>
    </w:p>
    <w:p w:rsidR="00000000" w:rsidDel="00000000" w:rsidP="00000000" w:rsidRDefault="00000000" w:rsidRPr="00000000" w14:paraId="00000057">
      <w:pPr>
        <w:spacing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3"/>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8.33331226855074"/>
        <w:gridCol w:w="8837.178498755073"/>
        <w:tblGridChange w:id="0">
          <w:tblGrid>
            <w:gridCol w:w="188.33331226855074"/>
            <w:gridCol w:w="8837.178498755073"/>
          </w:tblGrid>
        </w:tblGridChange>
      </w:tblGrid>
      <w:tr>
        <w:trPr>
          <w:cantSplit w:val="0"/>
          <w:trHeight w:val="1560"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80.0" w:type="dxa"/>
              <w:left w:w="40.0" w:type="dxa"/>
              <w:bottom w:w="80.0" w:type="dxa"/>
              <w:right w:w="40.0" w:type="dxa"/>
            </w:tcMar>
            <w:vAlign w:val="top"/>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cccccc" w:space="0" w:sz="8" w:val="single"/>
              <w:bottom w:color="cccccc" w:space="0" w:sz="8" w:val="single"/>
              <w:right w:color="cccccc" w:space="0" w:sz="8" w:val="single"/>
            </w:tcBorders>
            <w:shd w:fill="f5f5f5" w:val="clear"/>
            <w:tcMar>
              <w:top w:w="100.0" w:type="dxa"/>
              <w:left w:w="200.0" w:type="dxa"/>
              <w:bottom w:w="100.0" w:type="dxa"/>
              <w:right w:w="160.0" w:type="dxa"/>
            </w:tcMar>
            <w:vAlign w:val="top"/>
          </w:tcPr>
          <w:p w:rsidR="00000000" w:rsidDel="00000000" w:rsidP="00000000" w:rsidRDefault="00000000" w:rsidRPr="00000000" w14:paraId="0000005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RQ: Do area-level spatially derived variables — dong-level park density, school infrastructure completeness, and coastal proximity — reduce prediction error (RMSE, MAE) and improve model fit (R²) in jeonse deposit prediction for Buk-gu, Pohang, relative to a model using standard apartment attributes alone?</w:t>
            </w:r>
          </w:p>
        </w:tc>
      </w:tr>
    </w:tbl>
    <w:p w:rsidR="00000000" w:rsidDel="00000000" w:rsidP="00000000" w:rsidRDefault="00000000" w:rsidRPr="00000000" w14:paraId="0000005A">
      <w:pPr>
        <w:spacing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feature groups are compared across three ML models:</w:t>
      </w:r>
    </w:p>
    <w:p w:rsidR="00000000" w:rsidDel="00000000" w:rsidP="00000000" w:rsidRDefault="00000000" w:rsidRPr="00000000" w14:paraId="0000005C">
      <w:pPr>
        <w:spacing w:after="40" w:before="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Group A (Baseline): Exclusive area, floor level, building age</w:t>
      </w:r>
    </w:p>
    <w:p w:rsidR="00000000" w:rsidDel="00000000" w:rsidP="00000000" w:rsidRDefault="00000000" w:rsidRPr="00000000" w14:paraId="0000005D">
      <w:pPr>
        <w:spacing w:after="40" w:before="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Group B (Spatial): Group A plus park count, total park area, school counts by level (elementary / middle / high), presence-of-all-three-levels dummy, coastal proximity dummy</w:t>
      </w:r>
    </w:p>
    <w:p w:rsidR="00000000" w:rsidDel="00000000" w:rsidP="00000000" w:rsidRDefault="00000000" w:rsidRPr="00000000" w14:paraId="0000005E">
      <w:pPr>
        <w:spacing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F">
      <w:pPr>
        <w:pStyle w:val="Heading3"/>
        <w:keepNext w:val="0"/>
        <w:keepLines w:val="0"/>
        <w:spacing w:before="220" w:lineRule="auto"/>
        <w:rPr>
          <w:rFonts w:ascii="Times New Roman" w:cs="Times New Roman" w:eastAsia="Times New Roman" w:hAnsi="Times New Roman"/>
          <w:b w:val="1"/>
          <w:bCs w:val="1"/>
          <w:color w:val="000000"/>
          <w:sz w:val="24"/>
          <w:szCs w:val="24"/>
        </w:rPr>
      </w:pPr>
      <w:bookmarkStart w:colFirst="0" w:colLast="0" w:name="_rlvnc6oodhmn" w:id="10"/>
      <w:bookmarkEnd w:id="10"/>
      <w:r w:rsidDel="00000000" w:rsidR="00000000" w:rsidRPr="00000000">
        <w:rPr>
          <w:rFonts w:ascii="Times New Roman" w:cs="Times New Roman" w:eastAsia="Times New Roman" w:hAnsi="Times New Roman"/>
          <w:b w:val="1"/>
          <w:bCs w:val="1"/>
          <w:color w:val="000000"/>
          <w:sz w:val="24"/>
          <w:szCs w:val="24"/>
          <w:rtl w:val="0"/>
        </w:rPr>
        <w:t xml:space="preserve">Null Hypothesis</w:t>
      </w:r>
    </w:p>
    <w:p w:rsidR="00000000" w:rsidDel="00000000" w:rsidP="00000000" w:rsidRDefault="00000000" w:rsidRPr="00000000" w14:paraId="00000060">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H₀: Adding area-level spatial variables (Group B) does not reduce RMSE or MAE, and does not improve R², relative to the baseline (Group A), in at least two of the three models tested.</w:t>
      </w:r>
    </w:p>
    <w:p w:rsidR="00000000" w:rsidDel="00000000" w:rsidP="00000000" w:rsidRDefault="00000000" w:rsidRPr="00000000" w14:paraId="00000061">
      <w:pPr>
        <w:spacing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2">
      <w:pPr>
        <w:spacing w:after="80" w:before="8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The "at least two of three" criterion reflects Ridge Regression’s structural limitation as a linear model in capturing non-linear spatial interactions. Results for all three models are reported regardless of the overall outcome.</w:t>
      </w:r>
    </w:p>
    <w:p w:rsidR="00000000" w:rsidDel="00000000" w:rsidP="00000000" w:rsidRDefault="00000000" w:rsidRPr="00000000" w14:paraId="00000063">
      <w:pPr>
        <w:spacing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480" w:lineRule="auto"/>
        <w:rPr>
          <w:rFonts w:ascii="Times New Roman" w:cs="Times New Roman" w:eastAsia="Times New Roman" w:hAnsi="Times New Roman"/>
          <w:b w:val="1"/>
          <w:bCs w:val="1"/>
        </w:rPr>
      </w:pPr>
      <w:bookmarkStart w:colFirst="0" w:colLast="0" w:name="_wz27q4axgtd6" w:id="11"/>
      <w:bookmarkEnd w:id="11"/>
      <w:r w:rsidDel="00000000" w:rsidR="00000000" w:rsidRPr="00000000">
        <w:rPr>
          <w:rFonts w:ascii="Times New Roman" w:cs="Times New Roman" w:eastAsia="Times New Roman" w:hAnsi="Times New Roman"/>
          <w:b w:val="1"/>
          <w:bCs w:val="1"/>
          <w:rtl w:val="0"/>
        </w:rPr>
        <w:t xml:space="preserve">4. Data &amp; Methods</w:t>
      </w:r>
    </w:p>
    <w:p w:rsidR="00000000" w:rsidDel="00000000" w:rsidP="00000000" w:rsidRDefault="00000000" w:rsidRPr="00000000" w14:paraId="00000065">
      <w:pPr>
        <w:pStyle w:val="Heading2"/>
        <w:keepNext w:val="0"/>
        <w:keepLines w:val="0"/>
        <w:spacing w:after="100" w:before="320" w:lineRule="auto"/>
        <w:rPr>
          <w:rFonts w:ascii="Times New Roman" w:cs="Times New Roman" w:eastAsia="Times New Roman" w:hAnsi="Times New Roman"/>
          <w:b w:val="1"/>
          <w:bCs w:val="1"/>
          <w:sz w:val="28"/>
          <w:szCs w:val="28"/>
        </w:rPr>
      </w:pPr>
      <w:bookmarkStart w:colFirst="0" w:colLast="0" w:name="_l3fg7xb3uw54" w:id="12"/>
      <w:bookmarkEnd w:id="12"/>
      <w:r w:rsidDel="00000000" w:rsidR="00000000" w:rsidRPr="00000000">
        <w:rPr>
          <w:rFonts w:ascii="Times New Roman" w:cs="Times New Roman" w:eastAsia="Times New Roman" w:hAnsi="Times New Roman"/>
          <w:b w:val="1"/>
          <w:bCs w:val="1"/>
          <w:sz w:val="28"/>
          <w:szCs w:val="28"/>
          <w:rtl w:val="0"/>
        </w:rPr>
        <w:t xml:space="preserve">4-1. Data Sources</w:t>
      </w:r>
    </w:p>
    <w:p w:rsidR="00000000" w:rsidDel="00000000" w:rsidP="00000000" w:rsidRDefault="00000000" w:rsidRPr="00000000" w14:paraId="00000066">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7">
      <w:pPr>
        <w:pStyle w:val="Heading3"/>
        <w:keepNext w:val="0"/>
        <w:keepLines w:val="0"/>
        <w:spacing w:before="220" w:lineRule="auto"/>
        <w:rPr>
          <w:rFonts w:ascii="Times New Roman" w:cs="Times New Roman" w:eastAsia="Times New Roman" w:hAnsi="Times New Roman"/>
          <w:b w:val="1"/>
          <w:bCs w:val="1"/>
          <w:color w:val="000000"/>
          <w:sz w:val="24"/>
          <w:szCs w:val="24"/>
        </w:rPr>
      </w:pPr>
      <w:bookmarkStart w:colFirst="0" w:colLast="0" w:name="_9swtyofp5xse" w:id="13"/>
      <w:bookmarkEnd w:id="13"/>
      <w:r w:rsidDel="00000000" w:rsidR="00000000" w:rsidRPr="00000000">
        <w:rPr>
          <w:rFonts w:ascii="Times New Roman" w:cs="Times New Roman" w:eastAsia="Times New Roman" w:hAnsi="Times New Roman"/>
          <w:b w:val="1"/>
          <w:bCs w:val="1"/>
          <w:color w:val="000000"/>
          <w:sz w:val="24"/>
          <w:szCs w:val="24"/>
          <w:rtl w:val="0"/>
        </w:rPr>
        <w:t xml:space="preserve">Housing Transaction Data</w:t>
      </w:r>
    </w:p>
    <w:p w:rsidR="00000000" w:rsidDel="00000000" w:rsidP="00000000" w:rsidRDefault="00000000" w:rsidRPr="00000000" w14:paraId="00000068">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Apartment lease transaction records for Buk-gu, Pohang are obtained from the MOLIT Real Estate Transaction Management System. Variables include sigungu, complex name, lease type, exclusive area, contract date, deposit amount, monthly rent, floor, year built, road name, contract type, and renewal request status. Jeonse transactions form the primary modeling target. To acquire more data, monthly rent records are converted to jeonse equivalents using the regional deposit-to-rent conversion rate:</w:t>
      </w:r>
    </w:p>
    <w:p w:rsidR="00000000" w:rsidDel="00000000" w:rsidP="00000000" w:rsidRDefault="00000000" w:rsidRPr="00000000" w14:paraId="00000069">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2928742" cy="637318"/>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928742" cy="637318"/>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80" w:before="8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where D  orig ​    is the imputed original jeonse deposit and D  new is the actual deposit of the monthly rent contract.</w:t>
      </w:r>
    </w:p>
    <w:p w:rsidR="00000000" w:rsidDel="00000000" w:rsidP="00000000" w:rsidRDefault="00000000" w:rsidRPr="00000000" w14:paraId="0000006B">
      <w:pPr>
        <w:spacing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C">
      <w:pPr>
        <w:pStyle w:val="Heading3"/>
        <w:keepNext w:val="0"/>
        <w:keepLines w:val="0"/>
        <w:spacing w:before="220" w:lineRule="auto"/>
        <w:rPr>
          <w:rFonts w:ascii="Times New Roman" w:cs="Times New Roman" w:eastAsia="Times New Roman" w:hAnsi="Times New Roman"/>
          <w:b w:val="1"/>
          <w:bCs w:val="1"/>
          <w:color w:val="000000"/>
          <w:sz w:val="24"/>
          <w:szCs w:val="24"/>
        </w:rPr>
      </w:pPr>
      <w:bookmarkStart w:colFirst="0" w:colLast="0" w:name="_u5j1ou2g8jho" w:id="14"/>
      <w:bookmarkEnd w:id="14"/>
      <w:r w:rsidDel="00000000" w:rsidR="00000000" w:rsidRPr="00000000">
        <w:rPr>
          <w:rFonts w:ascii="Times New Roman" w:cs="Times New Roman" w:eastAsia="Times New Roman" w:hAnsi="Times New Roman"/>
          <w:b w:val="1"/>
          <w:bCs w:val="1"/>
          <w:color w:val="000000"/>
          <w:sz w:val="24"/>
          <w:szCs w:val="24"/>
          <w:rtl w:val="0"/>
        </w:rPr>
        <w:t xml:space="preserve">School Data</w:t>
      </w:r>
    </w:p>
    <w:p w:rsidR="00000000" w:rsidDel="00000000" w:rsidP="00000000" w:rsidRDefault="00000000" w:rsidRPr="00000000" w14:paraId="0000006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status information for elementary, middle, and high schools in Pohang is obtained from the Gyeongsangbuk-do Office of Education. Variables are aggregated at the dong level to produce school counts by level, total school count, and a binary dummy indicating whether all three school levels are present in the dong.</w:t>
      </w:r>
    </w:p>
    <w:p w:rsidR="00000000" w:rsidDel="00000000" w:rsidP="00000000" w:rsidRDefault="00000000" w:rsidRPr="00000000" w14:paraId="0000006E">
      <w:pPr>
        <w:spacing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F">
      <w:pPr>
        <w:pStyle w:val="Heading3"/>
        <w:keepNext w:val="0"/>
        <w:keepLines w:val="0"/>
        <w:spacing w:before="220" w:lineRule="auto"/>
        <w:rPr>
          <w:rFonts w:ascii="Times New Roman" w:cs="Times New Roman" w:eastAsia="Times New Roman" w:hAnsi="Times New Roman"/>
          <w:b w:val="1"/>
          <w:bCs w:val="1"/>
          <w:color w:val="000000"/>
          <w:sz w:val="24"/>
          <w:szCs w:val="24"/>
        </w:rPr>
      </w:pPr>
      <w:bookmarkStart w:colFirst="0" w:colLast="0" w:name="_c0qbw91pssv5" w:id="15"/>
      <w:bookmarkEnd w:id="15"/>
      <w:r w:rsidDel="00000000" w:rsidR="00000000" w:rsidRPr="00000000">
        <w:rPr>
          <w:rFonts w:ascii="Times New Roman" w:cs="Times New Roman" w:eastAsia="Times New Roman" w:hAnsi="Times New Roman"/>
          <w:b w:val="1"/>
          <w:bCs w:val="1"/>
          <w:color w:val="000000"/>
          <w:sz w:val="24"/>
          <w:szCs w:val="24"/>
          <w:rtl w:val="0"/>
        </w:rPr>
        <w:t xml:space="preserve">Park Data</w:t>
      </w:r>
    </w:p>
    <w:p w:rsidR="00000000" w:rsidDel="00000000" w:rsidP="00000000" w:rsidRDefault="00000000" w:rsidRPr="00000000" w14:paraId="00000070">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Park existence, count, and area data for Buk-gu, Pohang are sourced from the Public Data Portal. Derived variables include a park presence dummy, number of parks, maximum park area, and total park area. All park variables are calculated based on a 500m threshold from the property.</w:t>
      </w:r>
    </w:p>
    <w:p w:rsidR="00000000" w:rsidDel="00000000" w:rsidP="00000000" w:rsidRDefault="00000000" w:rsidRPr="00000000" w14:paraId="00000071">
      <w:pPr>
        <w:spacing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2">
      <w:pPr>
        <w:pStyle w:val="Heading3"/>
        <w:keepNext w:val="0"/>
        <w:keepLines w:val="0"/>
        <w:spacing w:before="220" w:lineRule="auto"/>
        <w:rPr>
          <w:rFonts w:ascii="Times New Roman" w:cs="Times New Roman" w:eastAsia="Times New Roman" w:hAnsi="Times New Roman"/>
          <w:b w:val="1"/>
          <w:bCs w:val="1"/>
          <w:color w:val="000000"/>
          <w:sz w:val="24"/>
          <w:szCs w:val="24"/>
        </w:rPr>
      </w:pPr>
      <w:bookmarkStart w:colFirst="0" w:colLast="0" w:name="_ajsb8yndirhq" w:id="16"/>
      <w:bookmarkEnd w:id="16"/>
      <w:r w:rsidDel="00000000" w:rsidR="00000000" w:rsidRPr="00000000">
        <w:rPr>
          <w:rFonts w:ascii="Times New Roman" w:cs="Times New Roman" w:eastAsia="Times New Roman" w:hAnsi="Times New Roman"/>
          <w:b w:val="1"/>
          <w:bCs w:val="1"/>
          <w:color w:val="000000"/>
          <w:sz w:val="24"/>
          <w:szCs w:val="24"/>
          <w:rtl w:val="0"/>
        </w:rPr>
        <w:t xml:space="preserve">Coastal Proximity Data</w:t>
      </w:r>
    </w:p>
    <w:p w:rsidR="00000000" w:rsidDel="00000000" w:rsidP="00000000" w:rsidRDefault="00000000" w:rsidRPr="00000000" w14:paraId="00000073">
      <w:pPr>
        <w:spacing w:after="80" w:before="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Coastal proximity is determined using administrative classification and spatial distance. The binary variable (sea proximity dummy) is defined as 1 if the apartment is located within a 500m straight-line distance from the sea or if it is located in a coastal administrative area in Buk-gu, and 0 otherwise.</w:t>
      </w:r>
      <w:r w:rsidDel="00000000" w:rsidR="00000000" w:rsidRPr="00000000">
        <w:rPr>
          <w:rtl w:val="0"/>
        </w:rPr>
      </w:r>
    </w:p>
    <w:p w:rsidR="00000000" w:rsidDel="00000000" w:rsidP="00000000" w:rsidRDefault="00000000" w:rsidRPr="00000000" w14:paraId="00000074">
      <w:pPr>
        <w:spacing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5">
      <w:pPr>
        <w:pStyle w:val="Heading2"/>
        <w:keepNext w:val="0"/>
        <w:keepLines w:val="0"/>
        <w:spacing w:after="100" w:before="320" w:lineRule="auto"/>
        <w:rPr>
          <w:rFonts w:ascii="Times New Roman" w:cs="Times New Roman" w:eastAsia="Times New Roman" w:hAnsi="Times New Roman"/>
          <w:b w:val="1"/>
          <w:bCs w:val="1"/>
          <w:sz w:val="28"/>
          <w:szCs w:val="28"/>
        </w:rPr>
      </w:pPr>
      <w:bookmarkStart w:colFirst="0" w:colLast="0" w:name="_h97mznnt6ajg" w:id="17"/>
      <w:bookmarkEnd w:id="17"/>
      <w:r w:rsidDel="00000000" w:rsidR="00000000" w:rsidRPr="00000000">
        <w:rPr>
          <w:rFonts w:ascii="Times New Roman" w:cs="Times New Roman" w:eastAsia="Times New Roman" w:hAnsi="Times New Roman"/>
          <w:b w:val="1"/>
          <w:bCs w:val="1"/>
          <w:sz w:val="28"/>
          <w:szCs w:val="28"/>
          <w:rtl w:val="0"/>
        </w:rPr>
        <w:t xml:space="preserve">4-2. Methodology</w:t>
      </w:r>
    </w:p>
    <w:p w:rsidR="00000000" w:rsidDel="00000000" w:rsidP="00000000" w:rsidRDefault="00000000" w:rsidRPr="00000000" w14:paraId="00000076">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7">
      <w:pPr>
        <w:pStyle w:val="Heading3"/>
        <w:keepNext w:val="0"/>
        <w:keepLines w:val="0"/>
        <w:spacing w:before="220" w:lineRule="auto"/>
        <w:rPr>
          <w:rFonts w:ascii="Times New Roman" w:cs="Times New Roman" w:eastAsia="Times New Roman" w:hAnsi="Times New Roman"/>
          <w:b w:val="1"/>
          <w:bCs w:val="1"/>
          <w:color w:val="000000"/>
          <w:sz w:val="24"/>
          <w:szCs w:val="24"/>
        </w:rPr>
      </w:pPr>
      <w:bookmarkStart w:colFirst="0" w:colLast="0" w:name="_n8nvcli5gqb4" w:id="18"/>
      <w:bookmarkEnd w:id="18"/>
      <w:r w:rsidDel="00000000" w:rsidR="00000000" w:rsidRPr="00000000">
        <w:rPr>
          <w:rFonts w:ascii="Times New Roman" w:cs="Times New Roman" w:eastAsia="Times New Roman" w:hAnsi="Times New Roman"/>
          <w:b w:val="1"/>
          <w:bCs w:val="1"/>
          <w:color w:val="000000"/>
          <w:sz w:val="24"/>
          <w:szCs w:val="24"/>
          <w:rtl w:val="0"/>
        </w:rPr>
        <w:t xml:space="preserve">Data Preprocessing</w:t>
      </w:r>
    </w:p>
    <w:p w:rsidR="00000000" w:rsidDel="00000000" w:rsidP="00000000" w:rsidRDefault="00000000" w:rsidRPr="00000000" w14:paraId="00000078">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 to model training, missing values and outliers are identified and handled to improve data quality and stability. Numerical variables on different scales — exclusive area, park area, school counts — are standardized using StandardScaler:</w:t>
      </w:r>
    </w:p>
    <w:p w:rsidR="00000000" w:rsidDel="00000000" w:rsidP="00000000" w:rsidRDefault="00000000" w:rsidRPr="00000000" w14:paraId="00000079">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A">
      <w:pPr>
        <w:spacing w:after="160" w:before="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62000" cy="254000"/>
            <wp:effectExtent b="0" l="0" r="0" t="0"/>
            <wp:docPr id="7"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7620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80" w:before="8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where μ is the feature mean and σ is the standard deviation across the training set. Categorical and binary spatial variables are converted to dummy variables. Multicollinearity among predictors is assessed using the Variance Inflation Factor:</w:t>
      </w:r>
    </w:p>
    <w:p w:rsidR="00000000" w:rsidDel="00000000" w:rsidP="00000000" w:rsidRDefault="00000000" w:rsidRPr="00000000" w14:paraId="0000007C">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D">
      <w:pPr>
        <w:spacing w:after="160" w:before="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838200" cy="292100"/>
            <wp:effectExtent b="0" l="0" r="0" t="0"/>
            <wp:docPr id="5"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8382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80" w:before="8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where R²ⱼ is the coefficient of determination from regressing predictor j on all other predictors. Variables with VIF exceeding a threshold (typically 10) are removed or combined.</w:t>
      </w:r>
    </w:p>
    <w:p w:rsidR="00000000" w:rsidDel="00000000" w:rsidP="00000000" w:rsidRDefault="00000000" w:rsidRPr="00000000" w14:paraId="0000007F">
      <w:pPr>
        <w:spacing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0">
      <w:pPr>
        <w:pStyle w:val="Heading3"/>
        <w:keepNext w:val="0"/>
        <w:keepLines w:val="0"/>
        <w:spacing w:before="220" w:lineRule="auto"/>
        <w:rPr>
          <w:rFonts w:ascii="Times New Roman" w:cs="Times New Roman" w:eastAsia="Times New Roman" w:hAnsi="Times New Roman"/>
          <w:b w:val="1"/>
          <w:bCs w:val="1"/>
          <w:color w:val="000000"/>
          <w:sz w:val="24"/>
          <w:szCs w:val="24"/>
        </w:rPr>
      </w:pPr>
      <w:bookmarkStart w:colFirst="0" w:colLast="0" w:name="_1xw49frg5a74" w:id="19"/>
      <w:bookmarkEnd w:id="19"/>
      <w:r w:rsidDel="00000000" w:rsidR="00000000" w:rsidRPr="00000000">
        <w:rPr>
          <w:rFonts w:ascii="Times New Roman" w:cs="Times New Roman" w:eastAsia="Times New Roman" w:hAnsi="Times New Roman"/>
          <w:b w:val="1"/>
          <w:bCs w:val="1"/>
          <w:color w:val="000000"/>
          <w:sz w:val="24"/>
          <w:szCs w:val="24"/>
          <w:rtl w:val="0"/>
        </w:rPr>
        <w:t xml:space="preserve">Spatial Variable Construction</w:t>
      </w:r>
    </w:p>
    <w:p w:rsidR="00000000" w:rsidDel="00000000" w:rsidP="00000000" w:rsidRDefault="00000000" w:rsidRPr="00000000" w14:paraId="00000081">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Area-level spatial features are constructed at the administrative dong level and merged with transaction records via spatial join. The coastal proximity dummy follows the rule defined above. Park variables are computed from the public park dataset using a 500m buffer. School counts by level are aggregated from the Gyeongsangbuk-do school registry.</w:t>
      </w:r>
    </w:p>
    <w:p w:rsidR="00000000" w:rsidDel="00000000" w:rsidP="00000000" w:rsidRDefault="00000000" w:rsidRPr="00000000" w14:paraId="00000082">
      <w:pPr>
        <w:spacing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3">
      <w:pPr>
        <w:pStyle w:val="Heading3"/>
        <w:keepNext w:val="0"/>
        <w:keepLines w:val="0"/>
        <w:spacing w:before="220" w:lineRule="auto"/>
        <w:rPr>
          <w:rFonts w:ascii="Times New Roman" w:cs="Times New Roman" w:eastAsia="Times New Roman" w:hAnsi="Times New Roman"/>
          <w:b w:val="1"/>
          <w:bCs w:val="1"/>
          <w:color w:val="000000"/>
          <w:sz w:val="24"/>
          <w:szCs w:val="24"/>
        </w:rPr>
      </w:pPr>
      <w:bookmarkStart w:colFirst="0" w:colLast="0" w:name="_7xugeb5e0hmh" w:id="20"/>
      <w:bookmarkEnd w:id="20"/>
      <w:r w:rsidDel="00000000" w:rsidR="00000000" w:rsidRPr="00000000">
        <w:rPr>
          <w:rFonts w:ascii="Times New Roman" w:cs="Times New Roman" w:eastAsia="Times New Roman" w:hAnsi="Times New Roman"/>
          <w:b w:val="1"/>
          <w:bCs w:val="1"/>
          <w:color w:val="000000"/>
          <w:sz w:val="24"/>
          <w:szCs w:val="24"/>
          <w:rtl w:val="0"/>
        </w:rPr>
        <w:t xml:space="preserve">Feature Set Design</w:t>
      </w:r>
    </w:p>
    <w:tbl>
      <w:tblPr>
        <w:tblStyle w:val="Table4"/>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26.7946562859422"/>
        <w:gridCol w:w="7098.71715473768"/>
        <w:tblGridChange w:id="0">
          <w:tblGrid>
            <w:gridCol w:w="1926.7946562859422"/>
            <w:gridCol w:w="7098.71715473768"/>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2b2b2b" w:val="clear"/>
            <w:tcMar>
              <w:top w:w="80.0" w:type="dxa"/>
              <w:left w:w="120.0" w:type="dxa"/>
              <w:bottom w:w="80.0" w:type="dxa"/>
              <w:right w:w="120.0" w:type="dxa"/>
            </w:tcMar>
            <w:vAlign w:val="top"/>
          </w:tcPr>
          <w:p w:rsidR="00000000" w:rsidDel="00000000" w:rsidP="00000000" w:rsidRDefault="00000000" w:rsidRPr="00000000" w14:paraId="00000084">
            <w:pPr>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Group</w:t>
            </w:r>
          </w:p>
        </w:tc>
        <w:tc>
          <w:tcPr>
            <w:tcBorders>
              <w:top w:color="000000" w:space="0" w:sz="8" w:val="single"/>
              <w:bottom w:color="000000" w:space="0" w:sz="8" w:val="single"/>
              <w:right w:color="000000" w:space="0" w:sz="8" w:val="single"/>
            </w:tcBorders>
            <w:shd w:fill="2b2b2b" w:val="clear"/>
            <w:tcMar>
              <w:top w:w="80.0" w:type="dxa"/>
              <w:left w:w="120.0" w:type="dxa"/>
              <w:bottom w:w="80.0" w:type="dxa"/>
              <w:right w:w="120.0" w:type="dxa"/>
            </w:tcMar>
            <w:vAlign w:val="top"/>
          </w:tcPr>
          <w:p w:rsidR="00000000" w:rsidDel="00000000" w:rsidP="00000000" w:rsidRDefault="00000000" w:rsidRPr="00000000" w14:paraId="00000085">
            <w:pPr>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Variables</w:t>
            </w:r>
          </w:p>
        </w:tc>
      </w:tr>
      <w:tr>
        <w:trPr>
          <w:cantSplit w:val="0"/>
          <w:trHeight w:val="630" w:hRule="atLeast"/>
          <w:tblHeader w:val="0"/>
        </w:trPr>
        <w:tc>
          <w:tcPr>
            <w:tcBorders>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8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Group A — Baseline</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8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Exclusive area, floor level, building age</w:t>
            </w:r>
          </w:p>
        </w:tc>
      </w:tr>
      <w:tr>
        <w:trPr>
          <w:cantSplit w:val="0"/>
          <w:trHeight w:val="630" w:hRule="atLeast"/>
          <w:tblHeader w:val="0"/>
        </w:trPr>
        <w:tc>
          <w:tcPr>
            <w:tcBorders>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8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Group B — Spatial Extension</w:t>
            </w:r>
          </w:p>
        </w:tc>
        <w:tc>
          <w:tcPr>
            <w:tcBorders>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8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Group A plus park presence dummy, park count, maximum park area, total park area, school counts by level (elementary / middle / high), presence-of-all-three-levels dummy, and coastal proximity dummy.</w:t>
            </w:r>
          </w:p>
        </w:tc>
      </w:tr>
    </w:tbl>
    <w:p w:rsidR="00000000" w:rsidDel="00000000" w:rsidP="00000000" w:rsidRDefault="00000000" w:rsidRPr="00000000" w14:paraId="0000008A">
      <w:pPr>
        <w:spacing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B">
      <w:pPr>
        <w:pStyle w:val="Heading3"/>
        <w:keepNext w:val="0"/>
        <w:keepLines w:val="0"/>
        <w:spacing w:before="220" w:lineRule="auto"/>
        <w:rPr>
          <w:rFonts w:ascii="Times New Roman" w:cs="Times New Roman" w:eastAsia="Times New Roman" w:hAnsi="Times New Roman"/>
          <w:b w:val="1"/>
          <w:bCs w:val="1"/>
          <w:color w:val="000000"/>
          <w:sz w:val="24"/>
          <w:szCs w:val="24"/>
        </w:rPr>
      </w:pPr>
      <w:bookmarkStart w:colFirst="0" w:colLast="0" w:name="_ji5cithjzi0y" w:id="21"/>
      <w:bookmarkEnd w:id="21"/>
      <w:r w:rsidDel="00000000" w:rsidR="00000000" w:rsidRPr="00000000">
        <w:rPr>
          <w:rFonts w:ascii="Times New Roman" w:cs="Times New Roman" w:eastAsia="Times New Roman" w:hAnsi="Times New Roman"/>
          <w:b w:val="1"/>
          <w:bCs w:val="1"/>
          <w:color w:val="000000"/>
          <w:sz w:val="24"/>
          <w:szCs w:val="24"/>
          <w:rtl w:val="0"/>
        </w:rPr>
        <w:t xml:space="preserve">Models</w:t>
      </w:r>
    </w:p>
    <w:tbl>
      <w:tblPr>
        <w:tblStyle w:val="Table5"/>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88.974102956232"/>
        <w:gridCol w:w="6736.537708067391"/>
        <w:tblGridChange w:id="0">
          <w:tblGrid>
            <w:gridCol w:w="2288.974102956232"/>
            <w:gridCol w:w="6736.537708067391"/>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2b2b2b" w:val="clear"/>
            <w:tcMar>
              <w:top w:w="80.0" w:type="dxa"/>
              <w:left w:w="120.0" w:type="dxa"/>
              <w:bottom w:w="80.0" w:type="dxa"/>
              <w:right w:w="120.0" w:type="dxa"/>
            </w:tcMar>
            <w:vAlign w:val="top"/>
          </w:tcPr>
          <w:p w:rsidR="00000000" w:rsidDel="00000000" w:rsidP="00000000" w:rsidRDefault="00000000" w:rsidRPr="00000000" w14:paraId="0000008C">
            <w:pPr>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Model</w:t>
            </w:r>
          </w:p>
        </w:tc>
        <w:tc>
          <w:tcPr>
            <w:tcBorders>
              <w:top w:color="000000" w:space="0" w:sz="8" w:val="single"/>
              <w:bottom w:color="000000" w:space="0" w:sz="8" w:val="single"/>
              <w:right w:color="000000" w:space="0" w:sz="8" w:val="single"/>
            </w:tcBorders>
            <w:shd w:fill="2b2b2b" w:val="clear"/>
            <w:tcMar>
              <w:top w:w="80.0" w:type="dxa"/>
              <w:left w:w="120.0" w:type="dxa"/>
              <w:bottom w:w="80.0" w:type="dxa"/>
              <w:right w:w="120.0" w:type="dxa"/>
            </w:tcMar>
            <w:vAlign w:val="top"/>
          </w:tcPr>
          <w:p w:rsidR="00000000" w:rsidDel="00000000" w:rsidP="00000000" w:rsidRDefault="00000000" w:rsidRPr="00000000" w14:paraId="0000008D">
            <w:pPr>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Rationale</w:t>
            </w:r>
          </w:p>
        </w:tc>
      </w:tr>
      <w:tr>
        <w:trPr>
          <w:cantSplit w:val="0"/>
          <w:trHeight w:val="630" w:hRule="atLeast"/>
          <w:tblHeader w:val="0"/>
        </w:trPr>
        <w:tc>
          <w:tcPr>
            <w:tcBorders>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8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Ridge Regression</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8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Linear baseline; penalizes large coefficients via L2 regularization, reducing instability from correlated predictors</w:t>
            </w:r>
          </w:p>
        </w:tc>
      </w:tr>
      <w:tr>
        <w:trPr>
          <w:cantSplit w:val="0"/>
          <w:trHeight w:val="630" w:hRule="atLeast"/>
          <w:tblHeader w:val="0"/>
        </w:trPr>
        <w:tc>
          <w:tcPr>
            <w:tcBorders>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9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Forest</w:t>
            </w:r>
          </w:p>
        </w:tc>
        <w:tc>
          <w:tcPr>
            <w:tcBorders>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9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Handles non-linear relationships and variable interactions; built-in feature importance via mean decrease in impurity</w:t>
            </w:r>
          </w:p>
        </w:tc>
      </w:tr>
      <w:tr>
        <w:trPr>
          <w:cantSplit w:val="0"/>
          <w:trHeight w:val="630" w:hRule="atLeast"/>
          <w:tblHeader w:val="0"/>
        </w:trPr>
        <w:tc>
          <w:tcPr>
            <w:tcBorders>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9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XGBoost</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9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 performance on structured data; gradient boosting captures complex interactions; supports SHAP interpretation</w:t>
            </w:r>
          </w:p>
        </w:tc>
      </w:tr>
    </w:tbl>
    <w:p w:rsidR="00000000" w:rsidDel="00000000" w:rsidP="00000000" w:rsidRDefault="00000000" w:rsidRPr="00000000" w14:paraId="00000094">
      <w:pPr>
        <w:spacing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Ridge Regression minimizes the penalized least-squares objective:</w:t>
      </w:r>
    </w:p>
    <w:p w:rsidR="00000000" w:rsidDel="00000000" w:rsidP="00000000" w:rsidRDefault="00000000" w:rsidRPr="00000000" w14:paraId="00000096">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7">
      <w:pPr>
        <w:spacing w:after="160" w:before="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73138" cy="581299"/>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273138" cy="581299"/>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80" w:before="80" w:lineRule="auto"/>
        <w:rPr>
          <w:rFonts w:ascii="Times New Roman" w:cs="Times New Roman" w:eastAsia="Times New Roman" w:hAnsi="Times New Roman"/>
          <w:i w:val="1"/>
          <w:iCs w:val="1"/>
          <w:sz w:val="20"/>
          <w:szCs w:val="20"/>
        </w:rPr>
      </w:pPr>
      <w:r w:rsidDel="00000000" w:rsidR="00000000" w:rsidRPr="00000000">
        <w:rPr>
          <w:rFonts w:ascii="Cardo" w:cs="Cardo" w:eastAsia="Cardo" w:hAnsi="Cardo"/>
          <w:i w:val="1"/>
          <w:iCs w:val="1"/>
          <w:sz w:val="20"/>
          <w:szCs w:val="20"/>
          <w:rtl w:val="0"/>
        </w:rPr>
        <w:t xml:space="preserve">where λ ≥ 0 is the regularization hyperparameter controlling the trade-off between fit and coefficient magnitude. Each model is trained and evaluated on Groups A and B under an identical train-test split.</w:t>
      </w:r>
    </w:p>
    <w:p w:rsidR="00000000" w:rsidDel="00000000" w:rsidP="00000000" w:rsidRDefault="00000000" w:rsidRPr="00000000" w14:paraId="00000099">
      <w:pPr>
        <w:spacing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A">
      <w:pPr>
        <w:pStyle w:val="Heading3"/>
        <w:keepNext w:val="0"/>
        <w:keepLines w:val="0"/>
        <w:spacing w:before="220" w:lineRule="auto"/>
        <w:rPr>
          <w:rFonts w:ascii="Times New Roman" w:cs="Times New Roman" w:eastAsia="Times New Roman" w:hAnsi="Times New Roman"/>
          <w:b w:val="1"/>
          <w:bCs w:val="1"/>
          <w:color w:val="000000"/>
          <w:sz w:val="24"/>
          <w:szCs w:val="24"/>
        </w:rPr>
      </w:pPr>
      <w:bookmarkStart w:colFirst="0" w:colLast="0" w:name="_jglsdmbcyhc8" w:id="22"/>
      <w:bookmarkEnd w:id="22"/>
      <w:r w:rsidDel="00000000" w:rsidR="00000000" w:rsidRPr="00000000">
        <w:rPr>
          <w:rFonts w:ascii="Times New Roman" w:cs="Times New Roman" w:eastAsia="Times New Roman" w:hAnsi="Times New Roman"/>
          <w:b w:val="1"/>
          <w:bCs w:val="1"/>
          <w:color w:val="000000"/>
          <w:sz w:val="24"/>
          <w:szCs w:val="24"/>
          <w:rtl w:val="0"/>
        </w:rPr>
        <w:t xml:space="preserve">Evaluation</w:t>
      </w:r>
    </w:p>
    <w:p w:rsidR="00000000" w:rsidDel="00000000" w:rsidP="00000000" w:rsidRDefault="00000000" w:rsidRPr="00000000" w14:paraId="0000009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Models are evaluated on held-out test data using three metrics. Root Mean Square Error (RMSE) penalizes large prediction errors more heavily:</w:t>
      </w:r>
    </w:p>
    <w:p w:rsidR="00000000" w:rsidDel="00000000" w:rsidP="00000000" w:rsidRDefault="00000000" w:rsidRPr="00000000" w14:paraId="0000009C">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D">
      <w:pPr>
        <w:spacing w:after="160" w:before="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358900" cy="368300"/>
            <wp:effectExtent b="0" l="0" r="0" t="0"/>
            <wp:docPr id="2"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13589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80" w:before="8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Mean Absolute Error (MAE) gives a more interpretable average deviation in the same unit as the prediction target:</w:t>
      </w:r>
    </w:p>
    <w:p w:rsidR="00000000" w:rsidDel="00000000" w:rsidP="00000000" w:rsidRDefault="00000000" w:rsidRPr="00000000" w14:paraId="0000009F">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0">
      <w:pPr>
        <w:spacing w:after="160" w:before="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155700" cy="342900"/>
            <wp:effectExtent b="0" l="0" r="0" t="0"/>
            <wp:docPr id="6"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11557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80" w:before="8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The coefficient of determination (R²) measures the proportion of variance in the jeonse deposit explained by the model:</w:t>
      </w:r>
    </w:p>
    <w:p w:rsidR="00000000" w:rsidDel="00000000" w:rsidP="00000000" w:rsidRDefault="00000000" w:rsidRPr="00000000" w14:paraId="000000A2">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3">
      <w:pPr>
        <w:spacing w:after="160" w:before="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397000" cy="292100"/>
            <wp:effectExtent b="0" l="0" r="0" t="0"/>
            <wp:docPr id="4"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13970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80" w:before="8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where ȳ is the sample mean of the observed jeonse deposits. The primary comparison is Group B versus Group A: lower RMSE and MAE in Group B indicates that spatial features improve predictive accuracy. Feature importance is assessed using built-in importance scores for Random Forest and XGBoost, supplemented by SHAP analysis.</w:t>
      </w:r>
    </w:p>
    <w:p w:rsidR="00000000" w:rsidDel="00000000" w:rsidP="00000000" w:rsidRDefault="00000000" w:rsidRPr="00000000" w14:paraId="000000A5">
      <w:pPr>
        <w:spacing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480" w:lineRule="auto"/>
        <w:rPr>
          <w:rFonts w:ascii="Times New Roman" w:cs="Times New Roman" w:eastAsia="Times New Roman" w:hAnsi="Times New Roman"/>
          <w:b w:val="1"/>
          <w:bCs w:val="1"/>
        </w:rPr>
      </w:pPr>
      <w:bookmarkStart w:colFirst="0" w:colLast="0" w:name="_qml61y34qy6h" w:id="23"/>
      <w:bookmarkEnd w:id="23"/>
      <w:r w:rsidDel="00000000" w:rsidR="00000000" w:rsidRPr="00000000">
        <w:rPr>
          <w:rFonts w:ascii="Times New Roman" w:cs="Times New Roman" w:eastAsia="Times New Roman" w:hAnsi="Times New Roman"/>
          <w:b w:val="1"/>
          <w:bCs w:val="1"/>
          <w:rtl w:val="0"/>
        </w:rPr>
        <w:t xml:space="preserve">5. Project Timeline</w:t>
      </w:r>
    </w:p>
    <w:p w:rsidR="00000000" w:rsidDel="00000000" w:rsidP="00000000" w:rsidRDefault="00000000" w:rsidRPr="00000000" w14:paraId="000000A7">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6"/>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66.0254546833335"/>
        <w:gridCol w:w="1057.5639842772464"/>
        <w:gridCol w:w="3708.717533903768"/>
        <w:gridCol w:w="2593.204838159276"/>
        <w:tblGridChange w:id="0">
          <w:tblGrid>
            <w:gridCol w:w="1666.0254546833335"/>
            <w:gridCol w:w="1057.5639842772464"/>
            <w:gridCol w:w="3708.717533903768"/>
            <w:gridCol w:w="2593.204838159276"/>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2b2b2b" w:val="clear"/>
            <w:tcMar>
              <w:top w:w="80.0" w:type="dxa"/>
              <w:left w:w="120.0" w:type="dxa"/>
              <w:bottom w:w="80.0" w:type="dxa"/>
              <w:right w:w="120.0" w:type="dxa"/>
            </w:tcMar>
            <w:vAlign w:val="top"/>
          </w:tcPr>
          <w:p w:rsidR="00000000" w:rsidDel="00000000" w:rsidP="00000000" w:rsidRDefault="00000000" w:rsidRPr="00000000" w14:paraId="000000A8">
            <w:pPr>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Phase</w:t>
            </w:r>
          </w:p>
        </w:tc>
        <w:tc>
          <w:tcPr>
            <w:tcBorders>
              <w:top w:color="000000" w:space="0" w:sz="8" w:val="single"/>
              <w:bottom w:color="000000" w:space="0" w:sz="8" w:val="single"/>
              <w:right w:color="000000" w:space="0" w:sz="8" w:val="single"/>
            </w:tcBorders>
            <w:shd w:fill="2b2b2b" w:val="clear"/>
            <w:tcMar>
              <w:top w:w="80.0" w:type="dxa"/>
              <w:left w:w="120.0" w:type="dxa"/>
              <w:bottom w:w="80.0" w:type="dxa"/>
              <w:right w:w="120.0" w:type="dxa"/>
            </w:tcMar>
            <w:vAlign w:val="top"/>
          </w:tcPr>
          <w:p w:rsidR="00000000" w:rsidDel="00000000" w:rsidP="00000000" w:rsidRDefault="00000000" w:rsidRPr="00000000" w14:paraId="000000A9">
            <w:pPr>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Weeks</w:t>
            </w:r>
          </w:p>
        </w:tc>
        <w:tc>
          <w:tcPr>
            <w:tcBorders>
              <w:top w:color="000000" w:space="0" w:sz="8" w:val="single"/>
              <w:bottom w:color="000000" w:space="0" w:sz="8" w:val="single"/>
              <w:right w:color="000000" w:space="0" w:sz="8" w:val="single"/>
            </w:tcBorders>
            <w:shd w:fill="2b2b2b" w:val="clear"/>
            <w:tcMar>
              <w:top w:w="80.0" w:type="dxa"/>
              <w:left w:w="120.0" w:type="dxa"/>
              <w:bottom w:w="80.0" w:type="dxa"/>
              <w:right w:w="120.0" w:type="dxa"/>
            </w:tcMar>
            <w:vAlign w:val="top"/>
          </w:tcPr>
          <w:p w:rsidR="00000000" w:rsidDel="00000000" w:rsidP="00000000" w:rsidRDefault="00000000" w:rsidRPr="00000000" w14:paraId="000000AA">
            <w:pPr>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Activities</w:t>
            </w:r>
          </w:p>
        </w:tc>
        <w:tc>
          <w:tcPr>
            <w:tcBorders>
              <w:top w:color="000000" w:space="0" w:sz="8" w:val="single"/>
              <w:bottom w:color="000000" w:space="0" w:sz="8" w:val="single"/>
              <w:right w:color="000000" w:space="0" w:sz="8" w:val="single"/>
            </w:tcBorders>
            <w:shd w:fill="2b2b2b" w:val="clear"/>
            <w:tcMar>
              <w:top w:w="80.0" w:type="dxa"/>
              <w:left w:w="120.0" w:type="dxa"/>
              <w:bottom w:w="80.0" w:type="dxa"/>
              <w:right w:w="120.0" w:type="dxa"/>
            </w:tcMar>
            <w:vAlign w:val="top"/>
          </w:tcPr>
          <w:p w:rsidR="00000000" w:rsidDel="00000000" w:rsidP="00000000" w:rsidRDefault="00000000" w:rsidRPr="00000000" w14:paraId="000000AB">
            <w:pPr>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Deliverable</w:t>
            </w:r>
          </w:p>
        </w:tc>
      </w:tr>
      <w:tr>
        <w:trPr>
          <w:cantSplit w:val="0"/>
          <w:trHeight w:val="1080" w:hRule="atLeast"/>
          <w:tblHeader w:val="0"/>
        </w:trPr>
        <w:tc>
          <w:tcPr>
            <w:tcBorders>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A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Phase 1 Data Acquisition &amp; Preprocessing</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A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Week 6-8</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A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Collect MOLIT transaction records Spatial join with school, park, coastal data Dong-level encoding Outlier handling and cleaning</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A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Integrated modeling dataset</w:t>
            </w:r>
          </w:p>
        </w:tc>
      </w:tr>
      <w:tr>
        <w:trPr>
          <w:cantSplit w:val="0"/>
          <w:trHeight w:val="1530" w:hRule="atLeast"/>
          <w:tblHeader w:val="0"/>
        </w:trPr>
        <w:tc>
          <w:tcPr>
            <w:tcBorders>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B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Phase 2 Model Implementation &amp; Design</w:t>
            </w:r>
          </w:p>
        </w:tc>
        <w:tc>
          <w:tcPr>
            <w:tcBorders>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B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Weeks 9-12</w:t>
            </w:r>
          </w:p>
        </w:tc>
        <w:tc>
          <w:tcPr>
            <w:tcBorders>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B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Week 6 — EDA: distributions, correlation matrices, feature selection intuition Weeks 7–8 — Model training (Ridge, RF, XGBoost) with cross-validation; hyperparameter tuning for Groups A and B</w:t>
            </w:r>
          </w:p>
        </w:tc>
        <w:tc>
          <w:tcPr>
            <w:tcBorders>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B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Trained models for both feature groups</w:t>
            </w:r>
          </w:p>
        </w:tc>
      </w:tr>
      <w:tr>
        <w:trPr>
          <w:cantSplit w:val="0"/>
          <w:trHeight w:val="1080" w:hRule="atLeast"/>
          <w:tblHeader w:val="0"/>
        </w:trPr>
        <w:tc>
          <w:tcPr>
            <w:tcBorders>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B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Phase 3 Evaluation &amp; Interpretation</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B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Weeks 12</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B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Week 9 — RMSE / MAE / R² comparison across groups and models Week 10 — SHAP feature importance; quantify contribution of spatial variables</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B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Evaluation report SHAP results</w:t>
            </w:r>
          </w:p>
        </w:tc>
      </w:tr>
      <w:tr>
        <w:trPr>
          <w:cantSplit w:val="0"/>
          <w:trHeight w:val="1080" w:hRule="atLeast"/>
          <w:tblHeader w:val="0"/>
        </w:trPr>
        <w:tc>
          <w:tcPr>
            <w:tcBorders>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B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Phase 4 Analysis &amp; Documentation</w:t>
            </w:r>
          </w:p>
        </w:tc>
        <w:tc>
          <w:tcPr>
            <w:tcBorders>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B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Weeks 13</w:t>
            </w:r>
          </w:p>
        </w:tc>
        <w:tc>
          <w:tcPr>
            <w:tcBorders>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B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Weeks 11–12 — Interpret results; derive policy and methodological implications Weeks 13–14 — Draft and submit research paper</w:t>
            </w:r>
          </w:p>
        </w:tc>
        <w:tc>
          <w:tcPr>
            <w:tcBorders>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B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 paper</w:t>
            </w:r>
          </w:p>
        </w:tc>
      </w:tr>
    </w:tbl>
    <w:p w:rsidR="00000000" w:rsidDel="00000000" w:rsidP="00000000" w:rsidRDefault="00000000" w:rsidRPr="00000000" w14:paraId="000000BC">
      <w:pPr>
        <w:spacing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jpg"/><Relationship Id="rId10" Type="http://schemas.openxmlformats.org/officeDocument/2006/relationships/image" Target="media/image7.jpg"/><Relationship Id="rId12" Type="http://schemas.openxmlformats.org/officeDocument/2006/relationships/image" Target="media/image4.jp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