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2"/>
          <w:szCs w:val="42"/>
        </w:rPr>
        <w:t xml:space="preserve">자  재  공  급  계  약  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(주)대성물산(이하 '발주처')과 (주)대성자재유통(이하 '공급자')은 아래와 같이 자재공급계약을 체결한다.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1500"/>
        <w:gridCol w:w="29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계약번호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DS-2023-MT-SC-008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계약일자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2023년 04월 10일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납품현장</w:t>
            </w:r>
          </w:p>
        </w:tc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송파 아파트 신축공사 현장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발주처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(주)대성물산 주택사업부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공급자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(주)대성자재유통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납품기간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2023.04.15 ~ 2025.06.30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납품조건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현장도착도 (공급자 부담)</w:t>
            </w:r>
          </w:p>
        </w:tc>
      </w:tr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계약금액(VAT별도)</w:t>
            </w:r>
          </w:p>
        </w:tc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금 NaN원정 (부가세 포함)</w:t>
            </w:r>
          </w:p>
        </w:tc>
      </w:tr>
    </w:tbl>
    <w:p>
      <w:pPr>
        <w:spacing w:before="120"/>
      </w:pP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제1조 (계약의 목적)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발주처는 공급자에게 본 계약서에 명시된 자재(이하 '본 자재')의 공급을 의뢰하고, 공급자는 이를 계약조건에 따라 성실히 이행하는 것을 목적으로 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제2조 (공급 자재 내역 및 계약단가)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공급 자재의 품목, 규격, 수량 및 계약단가는 다음과 같다.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계약단가는 조달청 나라장터 공시단가(2023년 1분기) 기준으로 협의·결정되었다.</w:t>
      </w:r>
    </w:p>
    <w:p>
      <w:pPr>
        <w:spacing w:after="100" w:before="100"/>
      </w:pP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1800"/>
        <w:gridCol w:w="600"/>
        <w:gridCol w:w="800"/>
        <w:gridCol w:w="1300"/>
        <w:gridCol w:w="1300"/>
        <w:gridCol w:w="1500"/>
        <w:gridCol w:w="900"/>
      </w:tblGrid>
      <w:tr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자재명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규격/사양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조달청단가(원)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계약단가(원)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계약금액(원)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철근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SD400, D10~D25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1,020,000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975,000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117,000,000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시황성자재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철근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SD500, D29~D35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1,060,000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1,015,000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55,825,000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시황성자재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H형강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H-300×150×6.5×9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1,200,000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1,140,000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39,900,000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시황성자재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합판(내수)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1급, 12×1220×2440mm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32,800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31,000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37,200,000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조달청기준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합판(보통)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1급, 18×1220×2440mm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51,954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49,500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29,700,000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조달청기준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시멘트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포틀랜드, 40kg/포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7,800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39,000,000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우레탄방수재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우레탄도막방수재, 우레탄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2,500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4,750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11,875,000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조달청기준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우레탄방수재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우레탄도막방수재, 프라이머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3,800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3,040,000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조달청기준</w:t>
            </w:r>
          </w:p>
        </w:tc>
      </w:tr>
      <w:tr>
        <w:tc>
          <w:tcPr>
            <w:gridSpan w:val="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공급가액 합계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NaN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VAT 별도</w:t>
            </w:r>
          </w:p>
        </w:tc>
      </w:tr>
    </w:tbl>
    <w:p>
      <w:pPr>
        <w:spacing w:after="80" w:before="60"/>
        <w:ind w:left="22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시황성 자재(철근, H형강)는 납품 시점의 조달청 공시단가를 적용하여 정산 가능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제3조 (납품 조건)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공급자는 발주처가 지정하는 현장에 자재를 인도하며, 운반비는 공급자가 부담한다.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납품 시 반드시 납품확인서(거래명세서)를 첨부하여야 하며, 발주처의 현장소장 또는 공무담당자의 확인 날인을 받아야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납품 자재는 KS 규격 또는 계약서에 명시된 품질기준을 충족하여야 하며, 공급자는 해당 자재의 품질시험성적서를 납품 시 제출한다.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④ 철근 등 시황성 자재는 납품일 기준 조달청 공시단가를 적용하며, 계약단가와의 차액은 익월 기성금 지급 시 정산한다.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제4조 (대금 지급)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발주처는 매월 마지막 영업일까지 당월 납품 완료분에 대한 세금계산서를 수령하고, 익월 20일까지 대금을 지급한다.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자재 하자 또는 납품 불량이 확인된 경우, 해당 금액에 대한 지급을 보류하고 공급자에게 즉시 시정을 요구한다.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대금 지급 지연 시 연 6%의 지연이자를 가산하여 지급한다.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제5조 (품질보증 및 하자)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공급자는 납품 자재에 대해 납품일로부터 1년간 품질을 보증한다.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납품 후 자재 불량이 발견된 경우 공급자는 발주처의 요청에 따라 7일 이내에 교체 또는 보수하여야 한다.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③ 자재 불량으로 인한 공사 지연 손해는 공급자가 배상한다.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제6조 (계약의 해제·해지)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① 일방 당사자가 본 계약의 중요한 의무를 위반하고 상당한 기간을 정하여 시정을 요구하였음에도 불구하고 이를 이행하지 아니하는 경우, 상대방은 계약을 해제 또는 해지할 수 있다.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② 발주처의 귀책사유로 계약이 해지되는 경우, 발주처는 공급자에게 기납품된 자재 대금 및 준비 비용을 정산하여 지급한다.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제7조 (기밀유지)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공급자는 계약 이행 과정에서 알게 된 발주처의 기밀정보, 설계도면, 원가내역 등을 제3자에게 누설하거나 계약 목적 외에 사용하여서는 아니 된다.</w:t>
      </w:r>
    </w:p>
    <w:p>
      <w:pPr>
        <w:spacing w:after="100" w:before="280" w:line="276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제8조 (분쟁 해결)</w:t>
      </w:r>
    </w:p>
    <w:p>
      <w:pPr>
        <w:spacing w:after="60" w:before="60" w:line="276"/>
        <w:ind w:left="22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본 계약과 관련한 분쟁은 서울중앙지방법원을 관할 법원으로 하여 해결한다.</w:t>
      </w:r>
    </w:p>
    <w:p>
      <w:pPr>
        <w:spacing w:after="100" w:before="28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계약의 체결을 증명하기 위하여 계약서 2부를 작성하여 각 1부씩 보관한다.</w:t>
      </w:r>
    </w:p>
    <w:p>
      <w:pPr>
        <w:spacing w:after="240" w:before="8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2023년  04월  10일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000"/>
      </w:tblGrid>
      <w:tr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발  주  처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(주)대성물산  주택사업부장  홍길동  (인)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공  급  자</w:t>
            </w:r>
          </w:p>
        </w:tc>
        <w:tc>
          <w:tcPr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(주)대성자재유통  대표이사  박재원  (인)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대성물산 (주)  |  자재공급계약서  |  DS-2023-MT-SC-008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2026-06-17T06:08:24.894Z</dcterms:created>
  <dcterms:modified xsi:type="dcterms:W3CDTF">2026-06-17T06:08:24.894Z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