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Response </w:t>
      </w:r>
      <w:r>
        <w:t xml:space="preserve">to Review</w:t>
      </w:r>
      <w:r>
        <w:t xml:space="preserve">ers — SER</w:t>
      </w:r>
      <w:r>
        <w:t xml:space="preserve">ENE (BELL</w:t>
      </w:r>
      <w:r>
        <w:t xml:space="preserve">-001), ma</w:t>
      </w:r>
      <w:r>
        <w:t xml:space="preserve">nuscript </w:t>
      </w:r>
      <w:r>
        <w:t xml:space="preserve">SLP-2026-</w:t>
      </w:r>
      <w:r>
        <w:t xml:space="preserve">0417</w:t>
      </w:r>
    </w:p>
    <w:p>
      <w:r>
        <w:t xml:space="preserve">We thank the editor and th</w:t>
      </w:r>
      <w:r>
        <w:t xml:space="preserve">e three reviewers for thei</w:t>
      </w:r>
      <w:r>
        <w:t xml:space="preserve">r careful reading. Reviewe</w:t>
      </w:r>
      <w:r>
        <w:t xml:space="preserve">r comments are reproduced </w:t>
      </w:r>
      <w:r>
        <w:t xml:space="preserve">in italics, followed by ou</w:t>
      </w:r>
      <w:r>
        <w:t xml:space="preserve">r response. Line numbers r</w:t>
      </w:r>
      <w:r>
        <w:t xml:space="preserve">efer to the revised manusc</w:t>
      </w:r>
      <w:r>
        <w:t xml:space="preserve">ript.</w:t>
      </w:r>
    </w:p>
    <w:p>
      <w:r>
        <w:t xml:space="preserve">R</w:t>
      </w:r>
      <w:r>
        <w:t xml:space="preserve">e</w:t>
      </w:r>
      <w:r>
        <w:t xml:space="preserve">v</w:t>
      </w:r>
      <w:r>
        <w:t xml:space="preserve">i</w:t>
      </w:r>
      <w:r>
        <w:t xml:space="preserve">e</w:t>
      </w:r>
      <w:r>
        <w:t xml:space="preserve">w</w:t>
      </w:r>
      <w:r>
        <w:t xml:space="preserve">e</w:t>
      </w:r>
      <w:r>
        <w:t xml:space="preserve">r</w:t>
      </w:r>
      <w:r>
        <w:t xml:space="preserve"> </w:t>
      </w:r>
      <w:r>
        <w:t xml:space="preserve">1</w:t>
      </w:r>
    </w:p>
    <w:p>
      <w:r>
        <w:t xml:space="preserve">Comment 1-1: The sample size justification is unclear</w:t>
      </w:r>
      <w:r>
        <w:t xml:space="preserve">. Please state the assumed effect size and the result</w:t>
      </w:r>
      <w:r>
        <w:t xml:space="preserve">ing power. Response: We agree and have added the powe</w:t>
      </w:r>
      <w:r>
        <w:t xml:space="preserve">r calculation to the Statistical analysis section (li</w:t>
      </w:r>
      <w:r>
        <w:t xml:space="preserve">nes 36–38): “Assuming a between-group difference of 3</w:t>
      </w:r>
      <w:r>
        <w:t xml:space="preserve">.0 points on the ISI with an SD of 4.5, 42 participan</w:t>
      </w:r>
      <w:r>
        <w:t xml:space="preserve">ts per arm provide 80% power at a two-sided alpha of </w:t>
      </w:r>
      <w:r>
        <w:t xml:space="preserve">0.05.”</w:t>
      </w:r>
    </w:p>
    <w:p>
      <w:r>
        <w:t xml:space="preserve">Comment 1-2: Please report the number of completers b</w:t>
      </w:r>
      <w:r>
        <w:t xml:space="preserve">y arm rather than the pooled figure. Response: Revise</w:t>
      </w:r>
      <w:r>
        <w:t xml:space="preserve">d as suggested. The first paragraph of Results now re</w:t>
      </w:r>
      <w:r>
        <w:t xml:space="preserve">ads: “Of the 84 randomised participants, 78 completed</w:t>
      </w:r>
      <w:r>
        <w:t xml:space="preserve"> the week-8 assessment, comprising 40 of 42 in the ac</w:t>
      </w:r>
      <w:r>
        <w:t xml:space="preserve">tive arm and 38 of 42 in the sham arm (Table 2).” The</w:t>
      </w:r>
      <w:r>
        <w:t xml:space="preserve"> corresponding counts are also given in the new Table</w:t>
      </w:r>
      <w:r>
        <w:t xml:space="preserve"> 2.</w:t>
      </w:r>
    </w:p>
    <w:p>
      <w:r>
        <w:t xml:space="preserve">R</w:t>
      </w:r>
      <w:r>
        <w:t xml:space="preserve">e</w:t>
      </w:r>
      <w:r>
        <w:t xml:space="preserve">v</w:t>
      </w:r>
      <w:r>
        <w:t xml:space="preserve">i</w:t>
      </w:r>
      <w:r>
        <w:t xml:space="preserve">e</w:t>
      </w:r>
      <w:r>
        <w:t xml:space="preserve">w</w:t>
      </w:r>
      <w:r>
        <w:t xml:space="preserve">e</w:t>
      </w:r>
      <w:r>
        <w:t xml:space="preserve">r</w:t>
      </w:r>
      <w:r>
        <w:t xml:space="preserve"> </w:t>
      </w:r>
      <w:r>
        <w:t xml:space="preserve">2</w:t>
      </w:r>
    </w:p>
    <w:p>
      <w:r>
        <w:t xml:space="preserve">Comment 2-1: The generalisability of the finding</w:t>
      </w:r>
      <w:r>
        <w:t xml:space="preserve">s is not discussed. Response: We have added a se</w:t>
      </w:r>
      <w:r>
        <w:t xml:space="preserve">ntence to the limitations paragraph: “Because bo</w:t>
      </w:r>
      <w:r>
        <w:t xml:space="preserve">th clinics serve an urban adult population, the </w:t>
      </w:r>
      <w:r>
        <w:t xml:space="preserve">findings may not generalise to older adults or t</w:t>
      </w:r>
      <w:r>
        <w:t xml:space="preserve">o patients with untreated sleep apnoea.” We also</w:t>
      </w:r>
      <w:r>
        <w:t xml:space="preserve"> cite two new references that bear on this point</w:t>
      </w:r>
      <w:r>
        <w:t xml:space="preserve">.</w:t>
      </w:r>
    </w:p>
    <w:p>
      <w:r>
        <w:t xml:space="preserve">Comment 2-2: It is not clear how the sham de</w:t>
      </w:r>
      <w:r>
        <w:t xml:space="preserve">vice was matched to the active device. Respo</w:t>
      </w:r>
      <w:r>
        <w:t xml:space="preserve">nse: We have expanded the masking paragraph:</w:t>
      </w:r>
      <w:r>
        <w:t xml:space="preserve"> “The sham unit was acoustically matched to </w:t>
      </w:r>
      <w:r>
        <w:t xml:space="preserve">the active unit in loudness and spectral pro</w:t>
      </w:r>
      <w:r>
        <w:t xml:space="preserve">file, and neither participants nor outcome a</w:t>
      </w:r>
      <w:r>
        <w:t xml:space="preserve">ssessors were informed which unit they handl</w:t>
      </w:r>
      <w:r>
        <w:t xml:space="preserve">ed.”</w:t>
      </w:r>
    </w:p>
    <w:p>
      <w:r>
        <w:t xml:space="preserve">R</w:t>
      </w:r>
      <w:r>
        <w:t xml:space="preserve">e</w:t>
      </w:r>
      <w:r>
        <w:t xml:space="preserve">v</w:t>
      </w:r>
      <w:r>
        <w:t xml:space="preserve">i</w:t>
      </w:r>
      <w:r>
        <w:t xml:space="preserve">e</w:t>
      </w:r>
      <w:r>
        <w:t xml:space="preserve">w</w:t>
      </w:r>
      <w:r>
        <w:t xml:space="preserve">e</w:t>
      </w:r>
      <w:r>
        <w:t xml:space="preserve">r</w:t>
      </w:r>
      <w:r>
        <w:t xml:space="preserve"> </w:t>
      </w:r>
      <w:r>
        <w:t xml:space="preserve">3</w:t>
      </w:r>
    </w:p>
    <w:p>
      <w:r>
        <w:t xml:space="preserve">Comment 3-1: The slow-wave activity comparison is presen</w:t>
      </w:r>
      <w:r>
        <w:t xml:space="preserve">ted as if it were confirmatory. Response: We have rewrit</w:t>
      </w:r>
      <w:r>
        <w:t xml:space="preserve">ten that sentence so that its exploratory status is expl</w:t>
      </w:r>
      <w:r>
        <w:t xml:space="preserve">icit: “Slow-wave activity in the first two NREM cycles w</w:t>
      </w:r>
      <w:r>
        <w:t xml:space="preserve">as numerically higher in the active arm, but the between</w:t>
      </w:r>
      <w:r>
        <w:t xml:space="preserve">-arm contrast was prespecified as exploratory and is rep</w:t>
      </w:r>
      <w:r>
        <w:t xml:space="preserve">orted without inferential testing.” No numbers were chan</w:t>
      </w:r>
      <w:r>
        <w:t xml:space="preserve">ged.</w:t>
      </w:r>
    </w:p>
    <w:p>
      <w:r>
        <w:t xml:space="preserve">We have adde</w:t>
      </w:r>
      <w:r>
        <w:t xml:space="preserve">d two new re</w:t>
      </w:r>
      <w:r>
        <w:t xml:space="preserve">ferences (Ju</w:t>
      </w:r>
      <w:r>
        <w:t xml:space="preserve">ng 2022; Oh </w:t>
      </w:r>
      <w:r>
        <w:t xml:space="preserve">2023) in sup</w:t>
      </w:r>
      <w:r>
        <w:t xml:space="preserve">port of the </w:t>
      </w:r>
      <w:r>
        <w:t xml:space="preserve">revisions ab</w:t>
      </w:r>
      <w:r>
        <w:t xml:space="preserve">ove.</w:t>
      </w:r>
    </w:p>
  </w:body>
</w:document>
</file>