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p>
    <w:p>
      <w:pPr>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spacing w:line="312" w:lineRule="auto" w:before="120" w:after="80"/>
        <w:jc w:val="left"/>
      </w:pPr>
      <w:r>
        <w:rPr>
          <w:rFonts w:ascii="맑은 고딕" w:hAnsi="맑은 고딕" w:eastAsia="맑은 고딕"/>
          <w:b/>
          <w:i w:val="0"/>
          <w:sz w:val="24"/>
        </w:rPr>
        <w:t>Abstract</w:t>
      </w:r>
    </w:p>
    <w:p>
      <w:pPr>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삼고, 표준 DQN·TempoRL 방식·Lazy-MDP 방식·고정 규칙 네 계열을 동일한 환경 스텝 예산과 동일한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이것이 최적해인지 탐험 실패인지를 가르기 위해 비용을 학습 도중에 켜는 대조 조건을 함께 실험하였다. [실험 대기 — 결과 나오면 확정]</w:t>
      </w:r>
    </w:p>
    <w:p>
      <w:pPr>
        <w:spacing w:line="312" w:lineRule="auto" w:before="0" w:after="200"/>
        <w:jc w:val="left"/>
      </w:pPr>
      <w:r>
        <w:rPr>
          <w:rFonts w:ascii="바탕" w:hAnsi="바탕" w:eastAsia="바탕"/>
          <w:b/>
          <w:i w:val="0"/>
          <w:sz w:val="20"/>
        </w:rPr>
        <w:t>Keyword : 강화학습, 행동 비용, 임계 비용, 무행동 붕괴, 통계적 평가 프로토콜</w:t>
      </w:r>
    </w:p>
    <w:p>
      <w:pPr>
        <w:spacing w:line="312" w:lineRule="auto" w:before="320" w:after="120"/>
        <w:jc w:val="left"/>
      </w:pPr>
      <w:r>
        <w:rPr>
          <w:rFonts w:ascii="맑은 고딕" w:hAnsi="맑은 고딕" w:eastAsia="맑은 고딕"/>
          <w:b/>
          <w:i w:val="0"/>
          <w:sz w:val="26"/>
        </w:rPr>
        <w:t>Ⅰ. Introduction</w:t>
      </w:r>
    </w:p>
    <w:p>
      <w:pPr>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spacing w:line="312" w:lineRule="auto" w:before="200" w:after="80"/>
        <w:jc w:val="left"/>
      </w:pPr>
      <w:r>
        <w:rPr>
          <w:rFonts w:ascii="맑은 고딕" w:hAnsi="맑은 고딕" w:eastAsia="맑은 고딕"/>
          <w:b/>
          <w:i w:val="0"/>
          <w:sz w:val="22"/>
        </w:rPr>
        <w:t>1. 이 연구가 하는 일</w:t>
      </w:r>
    </w:p>
    <w:p>
      <w:pPr>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spacing w:line="480" w:lineRule="auto" w:before="0" w:after="0"/>
        <w:ind w:firstLine="200"/>
        <w:jc w:val="both"/>
      </w:pPr>
      <w:r>
        <w:rPr>
          <w:rFonts w:ascii="바탕" w:hAnsi="바탕" w:eastAsia="바탕"/>
          <w:b/>
          <w:i w:val="0"/>
          <w:sz w:val="20"/>
        </w:rPr>
        <w:t>r'(s, a) = r(s, a) − λ · 1[a ≠ a_noop]</w:t>
      </w:r>
    </w:p>
    <w:p>
      <w:pPr>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spacing w:line="480" w:lineRule="auto" w:before="0" w:after="0"/>
        <w:ind w:firstLine="200"/>
        <w:jc w:val="both"/>
      </w:pPr>
      <w:r>
        <w:rPr>
          <w:rFonts w:ascii="바탕" w:hAnsi="바탕" w:eastAsia="바탕"/>
          <w:b w:val="0"/>
          <w:i w:val="0"/>
          <w:sz w:val="20"/>
        </w:rPr>
        <w:t>기여는 세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희소하고 좋은 규칙이 있는 MountainCar-v0,</w:t>
      </w:r>
    </w:p>
    <w:p>
      <w:pPr>
        <w:spacing w:line="480" w:lineRule="auto" w:before="0" w:after="0"/>
        <w:ind w:firstLine="200"/>
        <w:jc w:val="both"/>
      </w:pPr>
      <w:r>
        <w:rPr>
          <w:rFonts w:ascii="바탕" w:hAnsi="바탕" w:eastAsia="바탕"/>
          <w:b w:val="0"/>
          <w:i w:val="0"/>
          <w:sz w:val="20"/>
        </w:rPr>
        <w:t>보상이 조밀하고 규칙이 약한 LunarLander-v3, 그 사이에 있는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spacing w:line="480" w:lineRule="auto" w:before="0" w:after="0"/>
        <w:ind w:firstLine="200"/>
        <w:jc w:val="both"/>
      </w:pPr>
      <w:r>
        <w:rPr>
          <w:rFonts w:ascii="바탕" w:hAnsi="바탕" w:eastAsia="바탕"/>
          <w:b w:val="0"/>
          <w:i w:val="0"/>
          <w:sz w:val="20"/>
        </w:rPr>
        <w:t>모두 '아무것도 하지 않기'로 굳는 현상을 관찰했다. 이것이 비용에 따른 최적해인지 탐험 실패인지를 가르기 위해, 비용을 학습 도중에 켜는 대조 조건을 두어 비교했다. [실험 대기 — 결과 나오면 확정]</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w:t>
      </w:r>
      <w:r>
        <w:rPr>
          <w:rFonts w:ascii="바탕" w:hAnsi="바탕" w:eastAsia="바탕"/>
          <w:b w:val="0"/>
          <w:i w:val="0"/>
          <w:sz w:val="20"/>
        </w:rPr>
        <w:t xml:space="preserve"> "학습이 규칙에 진 것은 비용 때문이 아니라 학습이 덜 된 탓 아닌가"라는</w:t>
      </w:r>
    </w:p>
    <w:p>
      <w:pPr>
        <w:spacing w:line="480" w:lineRule="auto" w:before="0" w:after="0"/>
        <w:ind w:firstLine="200"/>
        <w:jc w:val="both"/>
      </w:pPr>
      <w:r>
        <w:rPr>
          <w:rFonts w:ascii="바탕" w:hAnsi="바탕" w:eastAsia="바탕"/>
          <w:b w:val="0"/>
          <w:i w:val="0"/>
          <w:sz w:val="20"/>
        </w:rPr>
        <w:t>당연한 반론을 정면으로 확인했다. 비용이 아예 없는 λ=0 조건에서 학습 예산과 탐험 설정을 바꿔 가며 다시 쟀고, 그 결과를 그대로 보고한다.</w:t>
      </w:r>
    </w:p>
    <w:p>
      <w:pPr>
        <w:spacing w:line="312" w:lineRule="auto" w:before="200" w:after="80"/>
        <w:jc w:val="left"/>
      </w:pPr>
      <w:r>
        <w:rPr>
          <w:rFonts w:ascii="맑은 고딕" w:hAnsi="맑은 고딕" w:eastAsia="맑은 고딕"/>
          <w:b/>
          <w:i w:val="0"/>
          <w:sz w:val="22"/>
        </w:rPr>
        <w:t>2. 미리 밝히는 결론</w:t>
      </w:r>
    </w:p>
    <w:p>
      <w:pPr>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못했고, 보상이 조밀한 LunarLander에서는 행동이 상당히 비싸질 때까지 학습이 규칙을 이겼다. 구체적인 λ* 값은 Ⅳ장 표 1에 있다.</w:t>
      </w:r>
    </w:p>
    <w:p>
      <w:pPr>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spacing w:line="312" w:lineRule="auto" w:before="200" w:after="80"/>
        <w:jc w:val="left"/>
      </w:pPr>
      <w:r>
        <w:rPr>
          <w:rFonts w:ascii="맑은 고딕" w:hAnsi="맑은 고딕" w:eastAsia="맑은 고딕"/>
          <w:b/>
          <w:i w:val="0"/>
          <w:sz w:val="22"/>
        </w:rPr>
        <w:t>3. 논문의 구성</w:t>
      </w:r>
    </w:p>
    <w:p>
      <w:pPr>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spacing w:line="312" w:lineRule="auto" w:before="320" w:after="120"/>
        <w:jc w:val="left"/>
      </w:pPr>
      <w:r>
        <w:rPr>
          <w:rFonts w:ascii="맑은 고딕" w:hAnsi="맑은 고딕" w:eastAsia="맑은 고딕"/>
          <w:b/>
          <w:i w:val="0"/>
          <w:sz w:val="26"/>
        </w:rPr>
        <w:t>Ⅱ. Related Works</w:t>
      </w:r>
    </w:p>
    <w:p>
      <w:pPr>
        <w:spacing w:line="312" w:lineRule="auto" w:before="200" w:after="80"/>
        <w:jc w:val="left"/>
      </w:pPr>
      <w:r>
        <w:rPr>
          <w:rFonts w:ascii="맑은 고딕" w:hAnsi="맑은 고딕" w:eastAsia="맑은 고딕"/>
          <w:b/>
          <w:i w:val="0"/>
          <w:sz w:val="22"/>
        </w:rPr>
        <w:t>1. TempoRL — 얼마나 오래 할지를 배운다</w:t>
      </w:r>
    </w:p>
    <w:p>
      <w:pPr>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이며, 한 번의 경험에서 더 짧은 길이의 표본도 함께 뽑아 쓰는 기법(skip experience augmentation)으로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spacing w:line="312" w:lineRule="auto" w:before="200" w:after="80"/>
        <w:jc w:val="left"/>
      </w:pPr>
      <w:r>
        <w:rPr>
          <w:rFonts w:ascii="맑은 고딕" w:hAnsi="맑은 고딕" w:eastAsia="맑은 고딕"/>
          <w:b/>
          <w:i w:val="0"/>
          <w:sz w:val="22"/>
        </w:rPr>
        <w:t>2. Lazy-MDP — 언제 끼어들지를 배운다</w:t>
      </w:r>
    </w:p>
    <w:p>
      <w:pPr>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spacing w:line="312" w:lineRule="auto" w:before="200" w:after="80"/>
        <w:jc w:val="left"/>
      </w:pPr>
      <w:r>
        <w:rPr>
          <w:rFonts w:ascii="맑은 고딕" w:hAnsi="맑은 고딕" w:eastAsia="맑은 고딕"/>
          <w:b/>
          <w:i w:val="0"/>
          <w:sz w:val="22"/>
        </w:rPr>
        <w:t>3. 통계적으로 믿을 수 있는 비교 — rliable 프로토콜</w:t>
      </w:r>
    </w:p>
    <w:p>
      <w:pPr>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보고하며, </w:t>
      </w:r>
      <w:r>
        <w:rPr>
          <w:rFonts w:ascii="바탕" w:hAnsi="바탕" w:eastAsia="바탕"/>
          <w:b/>
          <w:i w:val="0"/>
          <w:sz w:val="20"/>
        </w:rPr>
        <w:t>신뢰구간이 겹치면 우열을 말하지 않는다.</w:t>
      </w:r>
      <w:r>
        <w:rPr>
          <w:rFonts w:ascii="바탕" w:hAnsi="바탕" w:eastAsia="바탕"/>
          <w:b w:val="0"/>
          <w:i w:val="0"/>
          <w:sz w:val="20"/>
        </w:rPr>
        <w:t xml:space="preserve"> 실제로 이 원칙이 결론을 바꾼 사례가 있었다 — 시드 0 하나만 보면 TempoRL이 MountainCar에서 가장 좋았지만, 시드 10개로는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spacing w:line="312" w:lineRule="auto" w:before="200" w:after="80"/>
        <w:jc w:val="left"/>
      </w:pPr>
      <w:r>
        <w:rPr>
          <w:rFonts w:ascii="맑은 고딕" w:hAnsi="맑은 고딕" w:eastAsia="맑은 고딕"/>
          <w:b/>
          <w:i w:val="0"/>
          <w:sz w:val="22"/>
        </w:rPr>
        <w:t>4. 남아 있는 빈틈</w:t>
      </w:r>
    </w:p>
    <w:p>
      <w:pPr>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spacing w:line="312" w:lineRule="auto" w:before="320" w:after="120"/>
        <w:jc w:val="left"/>
      </w:pPr>
      <w:r>
        <w:rPr>
          <w:rFonts w:ascii="맑은 고딕" w:hAnsi="맑은 고딕" w:eastAsia="맑은 고딕"/>
          <w:b/>
          <w:i w:val="0"/>
          <w:sz w:val="26"/>
        </w:rPr>
        <w:t>Ⅲ. Proposed Method</w:t>
      </w:r>
    </w:p>
    <w:p>
      <w:pPr>
        <w:spacing w:line="312" w:lineRule="auto" w:before="200" w:after="80"/>
        <w:jc w:val="left"/>
      </w:pPr>
      <w:r>
        <w:rPr>
          <w:rFonts w:ascii="맑은 고딕" w:hAnsi="맑은 고딕" w:eastAsia="맑은 고딕"/>
          <w:b/>
          <w:i w:val="0"/>
          <w:sz w:val="22"/>
        </w:rPr>
        <w:t>1. 문제 정의 — 행동에 값을 매긴 마르코프 결정 과정</w:t>
      </w:r>
    </w:p>
    <w:p>
      <w:pPr>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spacing w:line="312" w:lineRule="auto" w:before="160" w:after="60"/>
        <w:jc w:val="left"/>
      </w:pPr>
      <w:r>
        <w:rPr>
          <w:rFonts w:ascii="맑은 고딕" w:hAnsi="맑은 고딕" w:eastAsia="맑은 고딕"/>
          <w:b/>
          <w:i w:val="0"/>
          <w:sz w:val="20"/>
        </w:rPr>
        <w:t>비용 부과 방식에 대한 결정</w:t>
      </w:r>
    </w:p>
    <w:p>
      <w:pPr>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spacing w:line="240" w:lineRule="auto" w:before="160"/>
        <w:jc w:val="center"/>
      </w:pPr>
      <w:r>
        <w:drawing>
          <wp:inline xmlns:a="http://schemas.openxmlformats.org/drawingml/2006/main" xmlns:pic="http://schemas.openxmlformats.org/drawingml/2006/picture">
            <wp:extent cx="5760000" cy="322191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22191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1. 행동 비용 래퍼와 비교 4계열의 구조</w:t>
      </w:r>
    </w:p>
    <w:p>
      <w:pPr>
        <w:spacing w:line="276" w:lineRule="auto" w:before="0" w:after="80"/>
        <w:jc w:val="center"/>
      </w:pPr>
      <w:r>
        <w:rPr>
          <w:rFonts w:ascii="맑은 고딕" w:hAnsi="맑은 고딕" w:eastAsia="맑은 고딕"/>
          <w:b w:val="0"/>
          <w:i/>
          <w:sz w:val="18"/>
        </w:rPr>
        <w:t>Fig. 1. Structure of the action-cost wrapper and the four compared families</w:t>
      </w:r>
    </w:p>
    <w:p>
      <w:pPr>
        <w:spacing w:line="312" w:lineRule="auto" w:before="200" w:after="80"/>
        <w:jc w:val="left"/>
      </w:pPr>
      <w:r>
        <w:rPr>
          <w:rFonts w:ascii="맑은 고딕" w:hAnsi="맑은 고딕" w:eastAsia="맑은 고딕"/>
          <w:b/>
          <w:i w:val="0"/>
          <w:sz w:val="22"/>
        </w:rPr>
        <w:t>2. 환경</w:t>
      </w:r>
    </w:p>
    <w:p>
      <w:pPr>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spacing w:line="480" w:lineRule="auto" w:before="0" w:after="0"/>
        <w:ind w:firstLine="2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조밀하고, 고정 규칙은 착륙만 시킬 뿐 점수가 낮다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spacing w:line="480" w:lineRule="auto" w:before="0" w:after="0"/>
        <w:ind w:firstLine="200"/>
        <w:jc w:val="both"/>
      </w:pPr>
      <w:r>
        <w:rPr>
          <w:rFonts w:ascii="바탕" w:hAnsi="바탕" w:eastAsia="바탕"/>
          <w:b w:val="0"/>
          <w:i w:val="0"/>
          <w:sz w:val="20"/>
        </w:rPr>
        <w:t>한 환경만 보면 "규칙에 진 이유가 비용 때문인가, 애초에 학습이 안 돼서인가"를 구분할 수 없다.</w:t>
      </w:r>
    </w:p>
    <w:p>
      <w:pPr>
        <w:spacing w:line="312" w:lineRule="auto" w:before="160" w:after="60"/>
        <w:jc w:val="left"/>
      </w:pPr>
      <w:r>
        <w:rPr>
          <w:rFonts w:ascii="맑은 고딕" w:hAnsi="맑은 고딕" w:eastAsia="맑은 고딕"/>
          <w:b/>
          <w:i w:val="0"/>
          <w:sz w:val="20"/>
        </w:rPr>
        <w:t>MountainCar의 탐험 장벽 (설계 근거가 된 사전 측정)</w:t>
      </w:r>
    </w:p>
    <w:p>
      <w:pPr>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spacing w:line="480" w:lineRule="auto" w:before="0" w:after="0"/>
        <w:ind w:firstLine="200"/>
        <w:jc w:val="both"/>
      </w:pPr>
      <w:r>
        <w:rPr>
          <w:rFonts w:ascii="바탕" w:hAnsi="바탕" w:eastAsia="바탕"/>
          <w:b w:val="0"/>
          <w:i w:val="0"/>
          <w:sz w:val="20"/>
        </w:rPr>
        <w:t xml:space="preserve">200스텝 제한에서 매 스텝 새 행동을 뽑는 표준 ε-greedy 탐험의 목표 도달률은 </w:t>
      </w:r>
      <w:r>
        <w:rPr>
          <w:rFonts w:ascii="바탕" w:hAnsi="바탕" w:eastAsia="바탕"/>
          <w:b/>
          <w:i w:val="0"/>
          <w:sz w:val="20"/>
        </w:rPr>
        <w:t>0.0%</w:t>
      </w:r>
      <w:r>
        <w:rPr>
          <w:rFonts w:ascii="바탕" w:hAnsi="바탕" w:eastAsia="바탕"/>
          <w:b w:val="0"/>
          <w:i w:val="0"/>
          <w:sz w:val="20"/>
        </w:rPr>
        <w:t>였다(500 에피소드). 같은 행동을 4스텝 유지하면 0.2%, 8스텝이면 1.6%, 16스텝이면 9.8%로 올라갔다.</w:t>
      </w:r>
    </w:p>
    <w:p>
      <w:pPr>
        <w:spacing w:line="480" w:lineRule="auto" w:before="0" w:after="0"/>
        <w:ind w:firstLine="200"/>
        <w:jc w:val="both"/>
      </w:pPr>
      <w:r>
        <w:rPr>
          <w:rFonts w:ascii="바탕" w:hAnsi="바탕" w:eastAsia="바탕"/>
          <w:b w:val="0"/>
          <w:i w:val="0"/>
          <w:sz w:val="20"/>
        </w:rPr>
        <w:t xml:space="preserve">시간제한을 300·500·1000스텝으로 늘려도 매 스텝 무작위의 도달률은 여전히 0.0%였다(각 300 에피소드). 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spacing w:line="312" w:lineRule="auto" w:before="200" w:after="80"/>
        <w:jc w:val="left"/>
      </w:pPr>
      <w:r>
        <w:rPr>
          <w:rFonts w:ascii="맑은 고딕" w:hAnsi="맑은 고딕" w:eastAsia="맑은 고딕"/>
          <w:b/>
          <w:i w:val="0"/>
          <w:sz w:val="22"/>
        </w:rPr>
        <w:t>3. 비교 대상 4계열</w:t>
      </w:r>
    </w:p>
    <w:p>
      <w:pPr>
        <w:spacing w:line="312" w:lineRule="auto" w:before="160" w:after="60"/>
        <w:jc w:val="left"/>
      </w:pPr>
      <w:r>
        <w:rPr>
          <w:rFonts w:ascii="맑은 고딕" w:hAnsi="맑은 고딕" w:eastAsia="맑은 고딕"/>
          <w:b/>
          <w:i w:val="0"/>
          <w:sz w:val="20"/>
        </w:rPr>
        <w:t>(가) 표준 DQN</w:t>
      </w:r>
    </w:p>
    <w:p>
      <w:pPr>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spacing w:line="312" w:lineRule="auto" w:before="160" w:after="60"/>
        <w:jc w:val="left"/>
      </w:pPr>
      <w:r>
        <w:rPr>
          <w:rFonts w:ascii="맑은 고딕" w:hAnsi="맑은 고딕" w:eastAsia="맑은 고딕"/>
          <w:b/>
          <w:i w:val="0"/>
          <w:sz w:val="20"/>
        </w:rPr>
        <w:t>(나) TempoRL 방식 — "얼마나 오래 할지"도 배운다</w:t>
      </w:r>
    </w:p>
    <w:p>
      <w:pPr>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spacing w:line="312" w:lineRule="auto" w:before="160" w:after="60"/>
        <w:jc w:val="left"/>
      </w:pPr>
      <w:r>
        <w:rPr>
          <w:rFonts w:ascii="맑은 고딕" w:hAnsi="맑은 고딕" w:eastAsia="맑은 고딕"/>
          <w:b/>
          <w:i w:val="0"/>
          <w:sz w:val="20"/>
        </w:rPr>
        <w:t>(다) Lazy-MDP 방식 — "언제 끼어들지"를 배운다</w:t>
      </w:r>
    </w:p>
    <w:p>
      <w:pPr>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spacing w:line="312" w:lineRule="auto" w:before="200" w:after="80"/>
        <w:jc w:val="left"/>
      </w:pPr>
      <w:r>
        <w:rPr>
          <w:rFonts w:ascii="맑은 고딕" w:hAnsi="맑은 고딕" w:eastAsia="맑은 고딕"/>
          <w:b/>
          <w:i w:val="0"/>
          <w:sz w:val="22"/>
        </w:rPr>
        <w:t>4. 공정 비교를 위한 통제</w:t>
      </w:r>
    </w:p>
    <w:p>
      <w:pPr>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spacing w:line="480" w:lineRule="auto" w:before="0" w:after="0"/>
        <w:ind w:firstLine="200"/>
        <w:jc w:val="both"/>
      </w:pPr>
      <w:r>
        <w:rPr>
          <w:rFonts w:ascii="바탕" w:hAnsi="바탕" w:eastAsia="바탕"/>
          <w:b w:val="0"/>
          <w:i w:val="0"/>
          <w:sz w:val="20"/>
        </w:rPr>
        <w:t>하이퍼파라미터는 우리가 고른 값이 아니라 TempoRL 공개 구현(</w:t>
      </w:r>
      <w:r>
        <w:rPr>
          <w:rFonts w:ascii="Consolas" w:hAnsi="Consolas" w:eastAsia="Consolas"/>
          <w:b w:val="0"/>
          <w:i w:val="0"/>
          <w:sz w:val="19"/>
        </w:rPr>
        <w:t>automl/TempoRL</w:t>
      </w:r>
      <w:r>
        <w:rPr>
          <w:rFonts w:ascii="바탕" w:hAnsi="바탕" w:eastAsia="바탕"/>
          <w:b w:val="0"/>
          <w:i w:val="0"/>
          <w:sz w:val="20"/>
        </w:rPr>
        <w:t xml:space="preserve">, </w:t>
      </w:r>
      <w:r>
        <w:rPr>
          <w:rFonts w:ascii="Consolas" w:hAnsi="Consolas" w:eastAsia="Consolas"/>
          <w:b w:val="0"/>
          <w:i w:val="0"/>
          <w:sz w:val="19"/>
        </w:rPr>
        <w:t>run_featurized_experiments.py</w:t>
      </w:r>
      <w:r>
        <w:rPr>
          <w:rFonts w:ascii="바탕" w:hAnsi="바탕" w:eastAsia="바탕"/>
          <w:b w:val="0"/>
          <w:i w:val="0"/>
          <w:sz w:val="20"/>
        </w:rPr>
        <w:t xml:space="preserve">, 2026-08-24 확인)의 기본값을 그대로 옮긴 것이다 —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 xml:space="preserve">로 통일한다. 환경별 값은 Ⅳ장의 실험 설정 표에 모아 두었다. 우리가 정한 값을 쓰면 "어느 계열에 유리하게 맞춘 것 아니냐"는 의심을 피할 수 없기 때문이다. 세 계열은 이 값을 </w:t>
      </w:r>
      <w:r>
        <w:rPr>
          <w:rFonts w:ascii="바탕" w:hAnsi="바탕" w:eastAsia="바탕"/>
          <w:b/>
          <w:i w:val="0"/>
          <w:sz w:val="20"/>
        </w:rPr>
        <w:t>완전히 동일하게</w:t>
      </w:r>
      <w:r>
        <w:rPr>
          <w:rFonts w:ascii="바탕" w:hAnsi="바탕" w:eastAsia="바탕"/>
          <w:b w:val="0"/>
          <w:i w:val="0"/>
          <w:sz w:val="20"/>
        </w:rPr>
        <w:t xml:space="preserve"> 쓰며, 계열 간 차이는 오직 '한 번의 결정이 환경을 몇 스텝 진행시키는가'와 '행동 집합에 기본 정책 위임이 있는가'뿐이다.</w:t>
      </w:r>
    </w:p>
    <w:p>
      <w:pPr>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의 평균이다. 파일럿에서 정책이 평가 시점마다 두 상태를 오가는 경우가 관찰됐기 때문이다(예: MountainCar의 Lazy-MDP가 '규칙에 위임(−119)'과 '직접 우가속(−200)' 사이를 손실이 0에 수렴한 채 왕복). Q값이 거의 동률이라 argmax가 뒤집히는 것인데, 한 시점만 재면 최종 점수가 동전 던지기가 된다. 학습이 없는 고정 규칙은 이런 진동이 없으므로 시드당 100 에피소드로 잰다.</w:t>
      </w:r>
    </w:p>
    <w:p>
      <w:pPr>
        <w:spacing w:line="312" w:lineRule="auto" w:before="200" w:after="80"/>
        <w:jc w:val="left"/>
      </w:pPr>
      <w:r>
        <w:rPr>
          <w:rFonts w:ascii="맑은 고딕" w:hAnsi="맑은 고딕" w:eastAsia="맑은 고딕"/>
          <w:b/>
          <w:i w:val="0"/>
          <w:sz w:val="22"/>
        </w:rPr>
        <w:t>5. 통계 처리</w:t>
      </w:r>
    </w:p>
    <w:p>
      <w:pPr>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spacing w:line="312" w:lineRule="auto" w:before="160" w:after="60"/>
        <w:jc w:val="left"/>
      </w:pPr>
      <w:r>
        <w:rPr>
          <w:rFonts w:ascii="맑은 고딕" w:hAnsi="맑은 고딕" w:eastAsia="맑은 고딕"/>
          <w:b/>
          <w:i w:val="0"/>
          <w:sz w:val="20"/>
        </w:rPr>
        <w:t>임계 비용 λ*의 정의</w:t>
      </w:r>
    </w:p>
    <w:p>
      <w:pPr>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spacing w:line="312" w:lineRule="auto" w:before="200" w:after="80"/>
        <w:jc w:val="left"/>
      </w:pPr>
      <w:r>
        <w:rPr>
          <w:rFonts w:ascii="맑은 고딕" w:hAnsi="맑은 고딕" w:eastAsia="맑은 고딕"/>
          <w:b/>
          <w:i w:val="0"/>
          <w:sz w:val="22"/>
        </w:rPr>
        <w:t>6. 이 연구가 스스로에게 건 두 가지 검사</w:t>
      </w:r>
    </w:p>
    <w:p>
      <w:pPr>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spacing w:line="312" w:lineRule="auto" w:before="160" w:after="60"/>
        <w:jc w:val="left"/>
      </w:pPr>
      <w:r>
        <w:rPr>
          <w:rFonts w:ascii="맑은 고딕" w:hAnsi="맑은 고딕" w:eastAsia="맑은 고딕"/>
          <w:b/>
          <w:i w:val="0"/>
          <w:sz w:val="20"/>
        </w:rPr>
        <w:t>6.1 공정성 검사 — "규칙에 진 것은 학습이 덜 된 탓 아닌가"</w:t>
      </w:r>
    </w:p>
    <w:p>
      <w:pPr>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spacing w:line="312" w:lineRule="auto" w:before="160" w:after="60"/>
        <w:jc w:val="left"/>
      </w:pPr>
      <w:r>
        <w:rPr>
          <w:rFonts w:ascii="맑은 고딕" w:hAnsi="맑은 고딕" w:eastAsia="맑은 고딕"/>
          <w:b/>
          <w:i w:val="0"/>
          <w:sz w:val="20"/>
        </w:rPr>
        <w:t>6.2 인과 검사 — "무행동 붕괴는 최적해인가 탐험 실패인가"</w:t>
      </w:r>
    </w:p>
    <w:p>
      <w:pPr>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spacing w:line="312" w:lineRule="auto" w:before="320" w:after="120"/>
        <w:jc w:val="left"/>
      </w:pPr>
      <w:r>
        <w:rPr>
          <w:rFonts w:ascii="맑은 고딕" w:hAnsi="맑은 고딕" w:eastAsia="맑은 고딕"/>
          <w:b/>
          <w:i w:val="0"/>
          <w:sz w:val="26"/>
        </w:rPr>
        <w:t>Ⅳ. Experimental Results</w:t>
      </w:r>
    </w:p>
    <w:p>
      <w:pPr>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spacing w:line="312" w:lineRule="auto" w:before="200" w:after="80"/>
        <w:jc w:val="left"/>
      </w:pPr>
      <w:r>
        <w:rPr>
          <w:rFonts w:ascii="맑은 고딕" w:hAnsi="맑은 고딕" w:eastAsia="맑은 고딕"/>
          <w:b/>
          <w:i w:val="0"/>
          <w:sz w:val="22"/>
        </w:rPr>
        <w:t>2. 핵심 결과 — 임계 비용 λ*</w:t>
      </w:r>
    </w:p>
    <w:p>
      <w:pPr>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3</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spacing w:line="312" w:lineRule="auto" w:before="200" w:after="80"/>
        <w:jc w:val="left"/>
      </w:pPr>
      <w:r>
        <w:rPr>
          <w:rFonts w:ascii="맑은 고딕" w:hAnsi="맑은 고딕" w:eastAsia="맑은 고딕"/>
          <w:b/>
          <w:i w:val="0"/>
          <w:sz w:val="22"/>
        </w:rPr>
        <w:t>3. 실험 설정</w:t>
      </w:r>
    </w:p>
    <w:p>
      <w:pPr>
        <w:spacing w:line="276" w:lineRule="auto" w:before="200" w:after="40"/>
        <w:jc w:val="center"/>
      </w:pPr>
      <w:r>
        <w:rPr>
          <w:rFonts w:ascii="맑은 고딕" w:hAnsi="맑은 고딕" w:eastAsia="맑은 고딕"/>
          <w:b/>
          <w:i w:val="0"/>
          <w:sz w:val="19"/>
        </w:rPr>
        <w:t>표 2. 실험 설정 요약</w:t>
      </w:r>
    </w:p>
    <w:p>
      <w:pPr>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spacing w:line="312" w:lineRule="auto" w:before="200" w:after="80"/>
        <w:jc w:val="left"/>
      </w:pPr>
      <w:r>
        <w:rPr>
          <w:rFonts w:ascii="맑은 고딕" w:hAnsi="맑은 고딕" w:eastAsia="맑은 고딕"/>
          <w:b/>
          <w:i w:val="0"/>
          <w:sz w:val="22"/>
        </w:rPr>
        <w:t>4. 환경별 λ-성능 지도</w:t>
      </w:r>
    </w:p>
    <w:p>
      <w:pPr>
        <w:spacing w:line="312" w:lineRule="auto" w:before="160" w:after="60"/>
        <w:jc w:val="left"/>
      </w:pPr>
      <w:r>
        <w:rPr>
          <w:rFonts w:ascii="맑은 고딕" w:hAnsi="맑은 고딕" w:eastAsia="맑은 고딕"/>
          <w:b/>
          <w:i w:val="0"/>
          <w:sz w:val="20"/>
        </w:rPr>
        <w:t>4.1 MountainCar-v0</w:t>
      </w:r>
    </w:p>
    <w:p>
      <w:pPr>
        <w:spacing w:line="480" w:lineRule="auto" w:before="0" w:after="0"/>
        <w:ind w:firstLine="2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9개(격자 9개 중) · 시드 10개까지 완료된 집계다.</w:t>
      </w:r>
    </w:p>
    <w:p>
      <w:pPr>
        <w:spacing w:line="276" w:lineRule="auto" w:before="200" w:after="40"/>
        <w:jc w:val="center"/>
      </w:pPr>
      <w:r>
        <w:rPr>
          <w:rFonts w:ascii="맑은 고딕" w:hAnsi="맑은 고딕" w:eastAsia="맑은 고딕"/>
          <w:b/>
          <w:i w:val="0"/>
          <w:sz w:val="19"/>
        </w:rPr>
        <w:t>표 3. MountainCar-v0의 비용 반영 총보상 r′ — IQM [95% 신뢰구간]</w:t>
      </w:r>
    </w:p>
    <w:p>
      <w:pPr>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9196"/>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39196"/>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2. λ-성능 지도 — MountainCar-v0 (보상이 희소한 환경)</w:t>
      </w:r>
    </w:p>
    <w:p>
      <w:pPr>
        <w:spacing w:line="276" w:lineRule="auto" w:before="0" w:after="80"/>
        <w:jc w:val="center"/>
      </w:pPr>
      <w:r>
        <w:rPr>
          <w:rFonts w:ascii="맑은 고딕" w:hAnsi="맑은 고딕" w:eastAsia="맑은 고딕"/>
          <w:b w:val="0"/>
          <w:i/>
          <w:sz w:val="18"/>
        </w:rPr>
        <w:t>Fig. 2. Performance map over action cost λ on MountainCar-v0</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141.1회(λ=0) → 0.0회(λ=0.66), 100% 감소; TempoRL 122.6회(λ=0) → 0.0회(λ=0.66), 100% 감소; Lazy-MDP 125.2회(λ=0) → 0.0회(λ=0.66), 100% 감소.</w:t>
      </w:r>
    </w:p>
    <w:p>
      <w:pPr>
        <w:spacing w:line="276" w:lineRule="auto" w:before="200" w:after="40"/>
        <w:jc w:val="center"/>
      </w:pPr>
      <w:r>
        <w:rPr>
          <w:rFonts w:ascii="맑은 고딕" w:hAnsi="맑은 고딕" w:eastAsia="맑은 고딕"/>
          <w:b/>
          <w:i w:val="0"/>
          <w:sz w:val="19"/>
        </w:rPr>
        <w:t>표 4. MountainCar-v0의 에피소드당 행동 횟수 (IQM)</w:t>
      </w:r>
    </w:p>
    <w:p>
      <w:pPr>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4.2 LunarLander-v3</w:t>
      </w:r>
    </w:p>
    <w:p>
      <w:pPr>
        <w:spacing w:line="480" w:lineRule="auto" w:before="0" w:after="0"/>
        <w:ind w:firstLine="200"/>
        <w:jc w:val="both"/>
      </w:pPr>
      <w:r>
        <w:rPr>
          <w:rFonts w:ascii="바탕" w:hAnsi="바탕" w:eastAsia="바탕"/>
          <w:b w:val="0"/>
          <w:i w:val="0"/>
          <w:sz w:val="20"/>
        </w:rPr>
        <w:t>보상이 조밀한 제어 문제다. 매 스텝 자세·속도·연료에 대한 신호가 들어오고, 표준 DQN이 정상적으로 학습된다. 고정 규칙은 착륙은 시키지만 점수가 낮다. 조건당 환경 200,000스텝, 학습 계열은 λ 8개(격자 8개 중) · 시드 10개까지 완료된 집계다.</w:t>
      </w:r>
    </w:p>
    <w:p>
      <w:pPr>
        <w:spacing w:line="276" w:lineRule="auto" w:before="200" w:after="40"/>
        <w:jc w:val="center"/>
      </w:pPr>
      <w:r>
        <w:rPr>
          <w:rFonts w:ascii="맑은 고딕" w:hAnsi="맑은 고딕" w:eastAsia="맑은 고딕"/>
          <w:b/>
          <w:i w:val="0"/>
          <w:sz w:val="19"/>
        </w:rPr>
        <w:t>표 5. LunarLander-v3의 비용 반영 총보상 r′ — IQM [95% 신뢰구간]</w:t>
      </w:r>
    </w:p>
    <w:p>
      <w:pPr>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3. λ-성능 지도 — LunarLander-v3 (보상이 조밀한 환경)</w:t>
      </w:r>
    </w:p>
    <w:p>
      <w:pPr>
        <w:spacing w:line="276" w:lineRule="auto" w:before="0" w:after="80"/>
        <w:jc w:val="center"/>
      </w:pPr>
      <w:r>
        <w:rPr>
          <w:rFonts w:ascii="맑은 고딕" w:hAnsi="맑은 고딕" w:eastAsia="맑은 고딕"/>
          <w:b w:val="0"/>
          <w:i/>
          <w:sz w:val="18"/>
        </w:rPr>
        <w:t>Fig. 3. Performance map over action cost λ on LunarLander-v3</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비교된 λ 구간 전체(8/8 λ)에서 임계값 규칙을 이겼다.</w:t>
      </w:r>
    </w:p>
    <w:p>
      <w:pPr>
        <w:spacing w:line="480" w:lineRule="auto" w:before="0" w:after="0"/>
        <w:ind w:left="340" w:hanging="198"/>
      </w:pPr>
      <w:r>
        <w:rPr>
          <w:rFonts w:ascii="바탕" w:hAnsi="바탕" w:eastAsia="바탕"/>
          <w:b w:val="0"/>
          <w:i w:val="0"/>
          <w:sz w:val="20"/>
        </w:rPr>
        <w:t>· Lazy-MDP는 비교된 λ 구간 전체(8/8 λ)에서 임계값 규칙을 이겼다.</w:t>
      </w:r>
    </w:p>
    <w:p>
      <w:pPr>
        <w:spacing w:line="480" w:lineRule="auto" w:before="0" w:after="0"/>
        <w:ind w:left="340" w:hanging="198"/>
      </w:pPr>
      <w:r>
        <w:rPr>
          <w:rFonts w:ascii="바탕" w:hAnsi="바탕" w:eastAsia="바탕"/>
          <w:b w:val="0"/>
          <w:i w:val="0"/>
          <w:sz w:val="20"/>
        </w:rPr>
        <w:t>· TempoRL은 비교된 λ 구간 전체(8/8 λ)에서 임계값 규칙을 이겼다.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λ=2, Lazy-MDP λ=2, TempoRL λ=2. 비용이 커지면 최강 규칙이 무행동으로 바뀌기 때문이며, 이쪽이 실질적인 임계 비용이다.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340.8회(λ=0) → 63.4회(λ=3), 81% 감소; TempoRL 406.5회(λ=0) → 97.8회(λ=3), 76% 감소; Lazy-MDP 246.6회(λ=0) → 37.5회(λ=3), 85% 감소.</w:t>
      </w:r>
    </w:p>
    <w:p>
      <w:pPr>
        <w:spacing w:line="276" w:lineRule="auto" w:before="200" w:after="40"/>
        <w:jc w:val="center"/>
      </w:pPr>
      <w:r>
        <w:rPr>
          <w:rFonts w:ascii="맑은 고딕" w:hAnsi="맑은 고딕" w:eastAsia="맑은 고딕"/>
          <w:b/>
          <w:i w:val="0"/>
          <w:sz w:val="19"/>
        </w:rPr>
        <w:t>표 6. LunarLander-v3의 에피소드당 행동 횟수 (IQM)</w:t>
      </w:r>
    </w:p>
    <w:p>
      <w:pPr>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341</w:t>
            </w:r>
          </w:p>
        </w:tc>
        <w:tc>
          <w:tcPr>
            <w:tcW w:type="dxa" w:w="1296"/>
          </w:tcPr>
          <w:p>
            <w:pPr>
              <w:spacing w:line="240" w:lineRule="auto"/>
              <w:jc w:val="center"/>
            </w:pPr>
            <w:r>
              <w:rPr>
                <w:rFonts w:ascii="바탕" w:hAnsi="바탕" w:eastAsia="바탕"/>
                <w:b w:val="0"/>
                <w:i w:val="0"/>
                <w:sz w:val="18"/>
              </w:rPr>
              <w:t>406</w:t>
            </w:r>
          </w:p>
        </w:tc>
        <w:tc>
          <w:tcPr>
            <w:tcW w:type="dxa" w:w="1296"/>
          </w:tcPr>
          <w:p>
            <w:pPr>
              <w:spacing w:line="240" w:lineRule="auto"/>
              <w:jc w:val="center"/>
            </w:pPr>
            <w:r>
              <w:rPr>
                <w:rFonts w:ascii="바탕" w:hAnsi="바탕" w:eastAsia="바탕"/>
                <w:b w:val="0"/>
                <w:i w:val="0"/>
                <w:sz w:val="18"/>
              </w:rPr>
              <w:t>247</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222</w:t>
            </w:r>
          </w:p>
        </w:tc>
        <w:tc>
          <w:tcPr>
            <w:tcW w:type="dxa" w:w="1296"/>
          </w:tcPr>
          <w:p>
            <w:pPr>
              <w:spacing w:line="240" w:lineRule="auto"/>
              <w:jc w:val="center"/>
            </w:pPr>
            <w:r>
              <w:rPr>
                <w:rFonts w:ascii="바탕" w:hAnsi="바탕" w:eastAsia="바탕"/>
                <w:b w:val="0"/>
                <w:i w:val="0"/>
                <w:sz w:val="18"/>
              </w:rPr>
              <w:t>393</w:t>
            </w:r>
          </w:p>
        </w:tc>
        <w:tc>
          <w:tcPr>
            <w:tcW w:type="dxa" w:w="1296"/>
          </w:tcPr>
          <w:p>
            <w:pPr>
              <w:spacing w:line="240" w:lineRule="auto"/>
              <w:jc w:val="center"/>
            </w:pPr>
            <w:r>
              <w:rPr>
                <w:rFonts w:ascii="바탕" w:hAnsi="바탕" w:eastAsia="바탕"/>
                <w:b w:val="0"/>
                <w:i w:val="0"/>
                <w:sz w:val="18"/>
              </w:rPr>
              <w:t>184</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177</w:t>
            </w:r>
          </w:p>
        </w:tc>
        <w:tc>
          <w:tcPr>
            <w:tcW w:type="dxa" w:w="1296"/>
          </w:tcPr>
          <w:p>
            <w:pPr>
              <w:spacing w:line="240" w:lineRule="auto"/>
              <w:jc w:val="center"/>
            </w:pPr>
            <w:r>
              <w:rPr>
                <w:rFonts w:ascii="바탕" w:hAnsi="바탕" w:eastAsia="바탕"/>
                <w:b w:val="0"/>
                <w:i w:val="0"/>
                <w:sz w:val="18"/>
              </w:rPr>
              <w:t>261</w:t>
            </w:r>
          </w:p>
        </w:tc>
        <w:tc>
          <w:tcPr>
            <w:tcW w:type="dxa" w:w="1296"/>
          </w:tcPr>
          <w:p>
            <w:pPr>
              <w:spacing w:line="240" w:lineRule="auto"/>
              <w:jc w:val="center"/>
            </w:pPr>
            <w:r>
              <w:rPr>
                <w:rFonts w:ascii="바탕" w:hAnsi="바탕" w:eastAsia="바탕"/>
                <w:b w:val="0"/>
                <w:i w:val="0"/>
                <w:sz w:val="18"/>
              </w:rPr>
              <w:t>151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156</w:t>
            </w:r>
          </w:p>
        </w:tc>
        <w:tc>
          <w:tcPr>
            <w:tcW w:type="dxa" w:w="1296"/>
          </w:tcPr>
          <w:p>
            <w:pPr>
              <w:spacing w:line="240" w:lineRule="auto"/>
              <w:jc w:val="center"/>
            </w:pPr>
            <w:r>
              <w:rPr>
                <w:rFonts w:ascii="바탕" w:hAnsi="바탕" w:eastAsia="바탕"/>
                <w:b w:val="0"/>
                <w:i w:val="0"/>
                <w:sz w:val="18"/>
              </w:rPr>
              <w:t>210</w:t>
            </w:r>
          </w:p>
        </w:tc>
        <w:tc>
          <w:tcPr>
            <w:tcW w:type="dxa" w:w="1296"/>
          </w:tcPr>
          <w:p>
            <w:pPr>
              <w:spacing w:line="240" w:lineRule="auto"/>
              <w:jc w:val="center"/>
            </w:pPr>
            <w:r>
              <w:rPr>
                <w:rFonts w:ascii="바탕" w:hAnsi="바탕" w:eastAsia="바탕"/>
                <w:b w:val="0"/>
                <w:i w:val="0"/>
                <w:sz w:val="18"/>
              </w:rPr>
              <w:t>139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144</w:t>
            </w:r>
          </w:p>
        </w:tc>
        <w:tc>
          <w:tcPr>
            <w:tcW w:type="dxa" w:w="1296"/>
          </w:tcPr>
          <w:p>
            <w:pPr>
              <w:spacing w:line="240" w:lineRule="auto"/>
              <w:jc w:val="center"/>
            </w:pPr>
            <w:r>
              <w:rPr>
                <w:rFonts w:ascii="바탕" w:hAnsi="바탕" w:eastAsia="바탕"/>
                <w:b w:val="0"/>
                <w:i w:val="0"/>
                <w:sz w:val="18"/>
              </w:rPr>
              <w:t>218</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149</w:t>
            </w:r>
          </w:p>
        </w:tc>
        <w:tc>
          <w:tcPr>
            <w:tcW w:type="dxa" w:w="1296"/>
          </w:tcPr>
          <w:p>
            <w:pPr>
              <w:spacing w:line="240" w:lineRule="auto"/>
              <w:jc w:val="center"/>
            </w:pPr>
            <w:r>
              <w:rPr>
                <w:rFonts w:ascii="바탕" w:hAnsi="바탕" w:eastAsia="바탕"/>
                <w:b w:val="0"/>
                <w:i w:val="0"/>
                <w:sz w:val="18"/>
              </w:rPr>
              <w:t>135</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112</w:t>
            </w:r>
          </w:p>
        </w:tc>
        <w:tc>
          <w:tcPr>
            <w:tcW w:type="dxa" w:w="1296"/>
          </w:tcPr>
          <w:p>
            <w:pPr>
              <w:spacing w:line="240" w:lineRule="auto"/>
              <w:jc w:val="center"/>
            </w:pPr>
            <w:r>
              <w:rPr>
                <w:rFonts w:ascii="바탕" w:hAnsi="바탕" w:eastAsia="바탕"/>
                <w:b w:val="0"/>
                <w:i w:val="0"/>
                <w:sz w:val="18"/>
              </w:rPr>
              <w:t>113</w:t>
            </w:r>
          </w:p>
        </w:tc>
        <w:tc>
          <w:tcPr>
            <w:tcW w:type="dxa" w:w="1296"/>
          </w:tcPr>
          <w:p>
            <w:pPr>
              <w:spacing w:line="240" w:lineRule="auto"/>
              <w:jc w:val="center"/>
            </w:pPr>
            <w:r>
              <w:rPr>
                <w:rFonts w:ascii="바탕" w:hAnsi="바탕" w:eastAsia="바탕"/>
                <w:b w:val="0"/>
                <w:i w:val="0"/>
                <w:sz w:val="18"/>
              </w:rPr>
              <w:t>118</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63</w:t>
            </w:r>
          </w:p>
        </w:tc>
        <w:tc>
          <w:tcPr>
            <w:tcW w:type="dxa" w:w="1296"/>
          </w:tcPr>
          <w:p>
            <w:pPr>
              <w:spacing w:line="240" w:lineRule="auto"/>
              <w:jc w:val="center"/>
            </w:pPr>
            <w:r>
              <w:rPr>
                <w:rFonts w:ascii="바탕" w:hAnsi="바탕" w:eastAsia="바탕"/>
                <w:b w:val="0"/>
                <w:i w:val="0"/>
                <w:sz w:val="18"/>
              </w:rPr>
              <w:t>98</w:t>
            </w:r>
          </w:p>
        </w:tc>
        <w:tc>
          <w:tcPr>
            <w:tcW w:type="dxa" w:w="1296"/>
          </w:tcPr>
          <w:p>
            <w:pPr>
              <w:spacing w:line="240" w:lineRule="auto"/>
              <w:jc w:val="center"/>
            </w:pPr>
            <w:r>
              <w:rPr>
                <w:rFonts w:ascii="바탕" w:hAnsi="바탕" w:eastAsia="바탕"/>
                <w:b w:val="0"/>
                <w:i w:val="0"/>
                <w:sz w:val="18"/>
              </w:rPr>
              <w:t>37</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4.3 무행동 붕괴 — 아주 작은 비용에서 학습이 멈춘다</w:t>
      </w:r>
    </w:p>
    <w:p>
      <w:pPr>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4. 무행동 붕괴 — 비용이 조금만 붙어도 행동을 멈춘다 (MountainCar-v0)</w:t>
      </w:r>
    </w:p>
    <w:p>
      <w:pPr>
        <w:spacing w:line="276" w:lineRule="auto" w:before="0" w:after="80"/>
        <w:jc w:val="center"/>
      </w:pPr>
      <w:r>
        <w:rPr>
          <w:rFonts w:ascii="맑은 고딕" w:hAnsi="맑은 고딕" w:eastAsia="맑은 고딕"/>
          <w:b w:val="0"/>
          <w:i/>
          <w:sz w:val="18"/>
        </w:rPr>
        <w:t>Fig. 4. Collapse to inaction: action count and success rate versus action cost λ on MountainCar-v0</w:t>
      </w:r>
    </w:p>
    <w:p>
      <w:pPr>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w:t>
      </w:r>
    </w:p>
    <w:p>
      <w:pPr>
        <w:spacing w:line="480" w:lineRule="auto" w:before="0" w:after="0"/>
        <w:ind w:left="340" w:hanging="198"/>
      </w:pPr>
      <w:r>
        <w:rPr>
          <w:rFonts w:ascii="바탕" w:hAnsi="바탕" w:eastAsia="바탕"/>
          <w:b w:val="0"/>
          <w:i w:val="0"/>
          <w:sz w:val="20"/>
        </w:rPr>
        <w:t>· 표준 DQN: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TempoRL: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Lazy-MDP: 행동 횟수가 절반 아래로 떨어지는 첫 λ = 0.05, 완전히 0이 되는 첫 λ = 0.2</w:t>
      </w:r>
    </w:p>
    <w:p>
      <w:pPr>
        <w:spacing w:line="480" w:lineRule="auto" w:before="0" w:after="0"/>
        <w:ind w:firstLine="200"/>
        <w:jc w:val="both"/>
      </w:pPr>
      <w:r>
        <w:rPr>
          <w:rFonts w:ascii="바탕" w:hAnsi="바탕" w:eastAsia="바탕"/>
          <w:b w:val="0"/>
          <w:i w:val="0"/>
          <w:sz w:val="20"/>
        </w:rPr>
        <w:t>이 문턱은 에피소드 보상 규모에 견주면 매우 작다. MountainCar의 한 에피소드 보상은 −200에서 −120 사이인데, 행동 1번의 값이 그 1% 수준만 되어도 학습은 행동을 포기한다.</w:t>
      </w:r>
    </w:p>
    <w:p>
      <w:pPr>
        <w:spacing w:line="312" w:lineRule="auto" w:before="200" w:after="80"/>
        <w:jc w:val="left"/>
      </w:pPr>
      <w:r>
        <w:rPr>
          <w:rFonts w:ascii="맑은 고딕" w:hAnsi="맑은 고딕" w:eastAsia="맑은 고딕"/>
          <w:b/>
          <w:i w:val="0"/>
          <w:sz w:val="22"/>
        </w:rPr>
        <w:t>5. 공정성 점검 — 비용이 없을 때 학습은 규칙 수준에 닿는가</w:t>
      </w:r>
    </w:p>
    <w:p>
      <w:pPr>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spacing w:line="276" w:lineRule="auto" w:before="200" w:after="40"/>
        <w:jc w:val="center"/>
      </w:pPr>
      <w:r>
        <w:rPr>
          <w:rFonts w:ascii="맑은 고딕" w:hAnsi="맑은 고딕" w:eastAsia="맑은 고딕"/>
          <w:b/>
          <w:i w:val="0"/>
          <w:sz w:val="19"/>
        </w:rPr>
        <w:t>표 7. 공정성 점검 — 비용이 없을 때(λ=0) 학습은 그 환경의 규칙 수준에 닿는가</w:t>
      </w:r>
    </w:p>
    <w:p>
      <w:pPr>
        <w:spacing w:line="276" w:lineRule="auto" w:before="0" w:after="60"/>
        <w:jc w:val="center"/>
      </w:pPr>
      <w:r>
        <w:rPr>
          <w:rFonts w:ascii="맑은 고딕" w:hAnsi="맑은 고딕" w:eastAsia="맑은 고딕"/>
          <w:b w:val="0"/>
          <w:i/>
          <w:sz w:val="18"/>
        </w:rPr>
        <w:t>Table 7.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[-179.9, -142.0]</w:t>
            </w:r>
          </w:p>
        </w:tc>
        <w:tc>
          <w:tcPr>
            <w:tcW w:type="dxa" w:w="794"/>
          </w:tcPr>
          <w:p>
            <w:pPr>
              <w:spacing w:line="240" w:lineRule="auto"/>
              <w:jc w:val="center"/>
            </w:pPr>
            <w:r>
              <w:rPr>
                <w:rFonts w:ascii="바탕" w:hAnsi="바탕" w:eastAsia="바탕"/>
                <w:b w:val="0"/>
                <w:i w:val="0"/>
                <w:sz w:val="18"/>
              </w:rPr>
              <w:t>62%</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-152.1</w:t>
            </w:r>
          </w:p>
        </w:tc>
        <w:tc>
          <w:tcPr>
            <w:tcW w:type="dxa" w:w="1361"/>
          </w:tcPr>
          <w:p>
            <w:pPr>
              <w:spacing w:line="240" w:lineRule="auto"/>
              <w:jc w:val="center"/>
            </w:pPr>
            <w:r>
              <w:rPr>
                <w:rFonts w:ascii="바탕" w:hAnsi="바탕" w:eastAsia="바탕"/>
                <w:b w:val="0"/>
                <w:i w:val="0"/>
                <w:sz w:val="18"/>
              </w:rPr>
              <w:t>[-185.3, -134.2]</w:t>
            </w:r>
          </w:p>
        </w:tc>
        <w:tc>
          <w:tcPr>
            <w:tcW w:type="dxa" w:w="794"/>
          </w:tcPr>
          <w:p>
            <w:pPr>
              <w:spacing w:line="240" w:lineRule="auto"/>
              <w:jc w:val="center"/>
            </w:pPr>
            <w:r>
              <w:rPr>
                <w:rFonts w:ascii="바탕" w:hAnsi="바탕" w:eastAsia="바탕"/>
                <w:b w:val="0"/>
                <w:i w:val="0"/>
                <w:sz w:val="18"/>
              </w:rPr>
              <w:t>98%</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-136.7]</w:t>
            </w:r>
          </w:p>
        </w:tc>
        <w:tc>
          <w:tcPr>
            <w:tcW w:type="dxa" w:w="794"/>
          </w:tcPr>
          <w:p>
            <w:pPr>
              <w:spacing w:line="240" w:lineRule="auto"/>
              <w:jc w:val="center"/>
            </w:pPr>
            <w:r>
              <w:rPr>
                <w:rFonts w:ascii="바탕" w:hAnsi="바탕" w:eastAsia="바탕"/>
                <w:b w:val="0"/>
                <w:i w:val="0"/>
                <w:sz w:val="18"/>
              </w:rPr>
              <w:t>61%</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3</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-135.8]</w:t>
            </w:r>
          </w:p>
        </w:tc>
        <w:tc>
          <w:tcPr>
            <w:tcW w:type="dxa" w:w="794"/>
          </w:tcPr>
          <w:p>
            <w:pPr>
              <w:spacing w:line="240" w:lineRule="auto"/>
              <w:jc w:val="center"/>
            </w:pPr>
            <w:r>
              <w:rPr>
                <w:rFonts w:ascii="바탕" w:hAnsi="바탕" w:eastAsia="바탕"/>
                <w:b w:val="0"/>
                <w:i w:val="0"/>
                <w:sz w:val="18"/>
              </w:rPr>
              <w:t>58%</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216.4]</w:t>
            </w:r>
          </w:p>
        </w:tc>
        <w:tc>
          <w:tcPr>
            <w:tcW w:type="dxa" w:w="794"/>
          </w:tcPr>
          <w:p>
            <w:pPr>
              <w:spacing w:line="240" w:lineRule="auto"/>
              <w:jc w:val="center"/>
            </w:pPr>
            <w:r>
              <w:rPr>
                <w:rFonts w:ascii="바탕" w:hAnsi="바탕" w:eastAsia="바탕"/>
                <w:b w:val="0"/>
                <w:i w:val="0"/>
                <w:sz w:val="18"/>
              </w:rPr>
              <w:t>81%</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35.8</w:t>
            </w:r>
          </w:p>
        </w:tc>
        <w:tc>
          <w:tcPr>
            <w:tcW w:type="dxa" w:w="1361"/>
          </w:tcPr>
          <w:p>
            <w:pPr>
              <w:spacing w:line="240" w:lineRule="auto"/>
              <w:jc w:val="center"/>
            </w:pPr>
            <w:r>
              <w:rPr>
                <w:rFonts w:ascii="바탕" w:hAnsi="바탕" w:eastAsia="바탕"/>
                <w:b w:val="0"/>
                <w:i w:val="0"/>
                <w:sz w:val="18"/>
              </w:rPr>
              <w:t>[34.3, 37.6]</w:t>
            </w:r>
          </w:p>
        </w:tc>
        <w:tc>
          <w:tcPr>
            <w:tcW w:type="dxa" w:w="794"/>
          </w:tcPr>
          <w:p>
            <w:pPr>
              <w:spacing w:line="240" w:lineRule="auto"/>
              <w:jc w:val="center"/>
            </w:pPr>
            <w:r>
              <w:rPr>
                <w:rFonts w:ascii="바탕" w:hAnsi="바탕" w:eastAsia="바탕"/>
                <w:b/>
                <w:i w:val="0"/>
                <w:sz w:val="18"/>
              </w:rPr>
              <w:t>100%</w:t>
            </w:r>
          </w:p>
        </w:tc>
      </w:tr>
    </w:tbl>
    <w:p>
      <w:pPr>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spacing w:line="312" w:lineRule="auto" w:before="320" w:after="120"/>
        <w:jc w:val="left"/>
      </w:pPr>
      <w:r>
        <w:rPr>
          <w:rFonts w:ascii="맑은 고딕" w:hAnsi="맑은 고딕" w:eastAsia="맑은 고딕"/>
          <w:b/>
          <w:i w:val="0"/>
          <w:sz w:val="26"/>
        </w:rPr>
        <w:t>Ⅴ. Conclusions</w:t>
      </w:r>
    </w:p>
    <w:p>
      <w:pPr>
        <w:spacing w:line="312" w:lineRule="auto" w:before="200" w:after="80"/>
        <w:jc w:val="left"/>
      </w:pPr>
      <w:r>
        <w:rPr>
          <w:rFonts w:ascii="맑은 고딕" w:hAnsi="맑은 고딕" w:eastAsia="맑은 고딕"/>
          <w:b/>
          <w:i w:val="0"/>
          <w:sz w:val="22"/>
        </w:rPr>
        <w:t>1. 무엇을 했고 무엇을 알아냈나</w:t>
      </w:r>
    </w:p>
    <w:p>
      <w:pPr>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네 가지다.</w:t>
      </w:r>
    </w:p>
    <w:p>
      <w:pPr>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세 환경에서 λ를 격자로 훑어, 비용이 오를 때 각 계열의 성능이 어떻게 무너지는지를 신뢰구간과 함께 그렸다. λ*는 "학습을 도입할 것인가, 지금 쓰는 규칙으로 버틸 것인가"를 가르는 판단선이 된다.</w:t>
      </w:r>
    </w:p>
    <w:p>
      <w:pPr>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조밀한 환경에서는 행동이 상당히 비싸질 때까지 학습이 규칙을 이겼고, 보상이 희소하고 이미 좋은 규칙이 있는 환경에서는 비용이 없을 때조차 학습이 규칙을 넘어서지 못했다.</w:t>
      </w:r>
    </w:p>
    <w:p>
      <w:pPr>
        <w:spacing w:line="480" w:lineRule="auto" w:before="0" w:after="0"/>
        <w:ind w:firstLine="200"/>
        <w:jc w:val="both"/>
      </w:pPr>
      <w:r>
        <w:rPr>
          <w:rFonts w:ascii="바탕" w:hAnsi="바탕" w:eastAsia="바탕"/>
          <w:b/>
          <w:i w:val="0"/>
          <w:sz w:val="20"/>
        </w:rPr>
        <w:t>넷째,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spacing w:line="480" w:lineRule="auto" w:before="0" w:after="0"/>
        <w:ind w:firstLine="200"/>
        <w:jc w:val="both"/>
      </w:pPr>
      <w:r>
        <w:rPr>
          <w:rFonts w:ascii="바탕" w:hAnsi="바탕" w:eastAsia="바탕"/>
          <w:b/>
          <w:i w:val="0"/>
          <w:sz w:val="20"/>
        </w:rPr>
        <w:t>셋째, 무행동 붕괴가 관찰된다.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이것이 "비용을 감안하면 가만히 있는 것이 정말 최적"이어서인지, 아니면 "비용 때문에 목표를 한 번도 보지 못해서"인지를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6.2절). [실험 대기 — 결과 나오면 확정] 결과는 Ⅳ장에 그대로 싣는다.</w:t>
      </w:r>
    </w:p>
    <w:p>
      <w:pPr>
        <w:spacing w:line="312" w:lineRule="auto" w:before="200" w:after="80"/>
        <w:jc w:val="left"/>
      </w:pPr>
      <w:r>
        <w:rPr>
          <w:rFonts w:ascii="맑은 고딕" w:hAnsi="맑은 고딕" w:eastAsia="맑은 고딕"/>
          <w:b/>
          <w:i w:val="0"/>
          <w:sz w:val="22"/>
        </w:rPr>
        <w:t>2. 실무자를 위한 정리</w:t>
      </w:r>
    </w:p>
    <w:p>
      <w:pPr>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spacing w:line="480" w:lineRule="auto" w:before="0" w:after="0"/>
        <w:ind w:firstLine="200"/>
        <w:jc w:val="both"/>
      </w:pPr>
      <w:r>
        <w:rPr>
          <w:rFonts w:ascii="바탕" w:hAnsi="바탕" w:eastAsia="바탕"/>
          <w:b w:val="0"/>
          <w:i w:val="0"/>
          <w:sz w:val="20"/>
        </w:rPr>
        <w:t>규칙 수준으로 떨어질 뿐이어서 가장 안정적이었다.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spacing w:line="480" w:lineRule="auto" w:before="0" w:after="0"/>
        <w:ind w:firstLine="200"/>
        <w:jc w:val="both"/>
      </w:pPr>
      <w:r>
        <w:rPr>
          <w:rFonts w:ascii="바탕" w:hAnsi="바탕" w:eastAsia="바탕"/>
          <w:b w:val="0"/>
          <w:i w:val="0"/>
          <w:sz w:val="20"/>
        </w:rPr>
        <w:t>처음부터 비용을 물리는 것보다 낫다. 처음부터 물리면 탐험 자체가 막힌다.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spacing w:line="312" w:lineRule="auto" w:before="200" w:after="80"/>
        <w:jc w:val="left"/>
      </w:pPr>
      <w:r>
        <w:rPr>
          <w:rFonts w:ascii="맑은 고딕" w:hAnsi="맑은 고딕" w:eastAsia="맑은 고딕"/>
          <w:b/>
          <w:i w:val="0"/>
          <w:sz w:val="22"/>
        </w:rPr>
        <w:t>3. 한계</w:t>
      </w:r>
    </w:p>
    <w:p>
      <w:pPr>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비용)에서는 행동을 오래 유지하는 TempoRL 계열이 유리해진다. 공정 비교를 지키려고 한 가지 방식으로 고정했으나, 다른 방식은 다른 지도를 그린다 — 실제로 전환 비용으로 재면 MountainCar의 pump 규칙은 에피소드당 행동 119.3회 중 방향 전환이 3.0회뿐이어서, 무행동이 규칙을 이기기 시작하는 λ가 0.67에서 26.9로 40배 커진다. 같은 환경이라도 비용을 어떻게 세느냐가 답을 바꾼다는 뜻이다.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2022. [본인 확인 필요 — 페이지 번호]</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2021. [본인 확인 필요 — 권·페이지 번호]</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