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이것이 최적해인지 탐험 실패인지를 가르기 위해 비용을 학습 도중에 켜는 대조 조건을 함께 실험하였다. [실험 대기 — 결과 나오면 확정]</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모두 '아무것도 하지 않기'로 굳는 현상을 관찰했다. 이것이 비용에 따른 최적해인지 탐험 실패인지를 가르기 위해, 비용을 학습 도중에 켜는 대조 조건을 두어 비교했다. [실험 대기 — 결과 나오면 확정]</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행동이 상당히 비싸질 때까지 학습이 규칙을 이겼다. 구체적인 λ* 값은 Ⅳ장 표 1에 있다.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조밀하고, 고정 규칙은 착륙만 시킬 뿐 점수가 낮다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두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9개(격자 9개 중) · 시드 10개까지 완료된 집계다.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341</w:t>
            </w:r>
          </w:p>
        </w:tc>
        <w:tc>
          <w:tcPr>
            <w:tcW w:type="dxa" w:w="1296"/>
          </w:tcPr>
          <w:p>
            <w:pPr>
              <w:spacing w:line="240" w:lineRule="auto"/>
              <w:jc w:val="center"/>
            </w:pPr>
            <w:r>
              <w:rPr>
                <w:rFonts w:ascii="바탕" w:hAnsi="바탕" w:eastAsia="바탕"/>
                <w:b w:val="0"/>
                <w:i w:val="0"/>
                <w:sz w:val="18"/>
              </w:rPr>
              <w:t>406</w:t>
            </w:r>
          </w:p>
        </w:tc>
        <w:tc>
          <w:tcPr>
            <w:tcW w:type="dxa" w:w="1296"/>
          </w:tcPr>
          <w:p>
            <w:pPr>
              <w:spacing w:line="240" w:lineRule="auto"/>
              <w:jc w:val="center"/>
            </w:pPr>
            <w:r>
              <w:rPr>
                <w:rFonts w:ascii="바탕" w:hAnsi="바탕" w:eastAsia="바탕"/>
                <w:b w:val="0"/>
                <w:i w:val="0"/>
                <w:sz w:val="18"/>
              </w:rPr>
              <w:t>247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w:t>
            </w:r>
          </w:p>
        </w:tc>
        <w:tc>
          <w:tcPr>
            <w:tcW w:type="dxa" w:w="1296"/>
          </w:tcPr>
          <w:p>
            <w:pPr>
              <w:spacing w:line="240" w:lineRule="auto"/>
              <w:jc w:val="center"/>
            </w:pPr>
            <w:r>
              <w:rPr>
                <w:rFonts w:ascii="바탕" w:hAnsi="바탕" w:eastAsia="바탕"/>
                <w:b w:val="0"/>
                <w:i w:val="0"/>
                <w:sz w:val="18"/>
              </w:rPr>
              <w:t>393</w:t>
            </w:r>
          </w:p>
        </w:tc>
        <w:tc>
          <w:tcPr>
            <w:tcW w:type="dxa" w:w="1296"/>
          </w:tcPr>
          <w:p>
            <w:pPr>
              <w:spacing w:line="240" w:lineRule="auto"/>
              <w:jc w:val="center"/>
            </w:pPr>
            <w:r>
              <w:rPr>
                <w:rFonts w:ascii="바탕" w:hAnsi="바탕" w:eastAsia="바탕"/>
                <w:b w:val="0"/>
                <w:i w:val="0"/>
                <w:sz w:val="18"/>
              </w:rPr>
              <w:t>184</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177</w:t>
            </w:r>
          </w:p>
        </w:tc>
        <w:tc>
          <w:tcPr>
            <w:tcW w:type="dxa" w:w="1296"/>
          </w:tcPr>
          <w:p>
            <w:pPr>
              <w:spacing w:line="240" w:lineRule="auto"/>
              <w:jc w:val="center"/>
            </w:pPr>
            <w:r>
              <w:rPr>
                <w:rFonts w:ascii="바탕" w:hAnsi="바탕" w:eastAsia="바탕"/>
                <w:b w:val="0"/>
                <w:i w:val="0"/>
                <w:sz w:val="18"/>
              </w:rPr>
              <w:t>261</w:t>
            </w:r>
          </w:p>
        </w:tc>
        <w:tc>
          <w:tcPr>
            <w:tcW w:type="dxa" w:w="1296"/>
          </w:tcPr>
          <w:p>
            <w:pPr>
              <w:spacing w:line="240" w:lineRule="auto"/>
              <w:jc w:val="center"/>
            </w:pPr>
            <w:r>
              <w:rPr>
                <w:rFonts w:ascii="바탕" w:hAnsi="바탕" w:eastAsia="바탕"/>
                <w:b w:val="0"/>
                <w:i w:val="0"/>
                <w:sz w:val="18"/>
              </w:rPr>
              <w:t>151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w:t>
            </w:r>
          </w:p>
        </w:tc>
        <w:tc>
          <w:tcPr>
            <w:tcW w:type="dxa" w:w="1296"/>
          </w:tcPr>
          <w:p>
            <w:pPr>
              <w:spacing w:line="240" w:lineRule="auto"/>
              <w:jc w:val="center"/>
            </w:pPr>
            <w:r>
              <w:rPr>
                <w:rFonts w:ascii="바탕" w:hAnsi="바탕" w:eastAsia="바탕"/>
                <w:b w:val="0"/>
                <w:i w:val="0"/>
                <w:sz w:val="18"/>
              </w:rPr>
              <w:t>210</w:t>
            </w:r>
          </w:p>
        </w:tc>
        <w:tc>
          <w:tcPr>
            <w:tcW w:type="dxa" w:w="1296"/>
          </w:tcPr>
          <w:p>
            <w:pPr>
              <w:spacing w:line="240" w:lineRule="auto"/>
              <w:jc w:val="center"/>
            </w:pPr>
            <w:r>
              <w:rPr>
                <w:rFonts w:ascii="바탕" w:hAnsi="바탕" w:eastAsia="바탕"/>
                <w:b w:val="0"/>
                <w:i w:val="0"/>
                <w:sz w:val="18"/>
              </w:rPr>
              <w:t>139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149</w:t>
            </w:r>
          </w:p>
        </w:tc>
        <w:tc>
          <w:tcPr>
            <w:tcW w:type="dxa" w:w="1296"/>
          </w:tcPr>
          <w:p>
            <w:pPr>
              <w:spacing w:line="240" w:lineRule="auto"/>
              <w:jc w:val="center"/>
            </w:pPr>
            <w:r>
              <w:rPr>
                <w:rFonts w:ascii="바탕" w:hAnsi="바탕" w:eastAsia="바탕"/>
                <w:b w:val="0"/>
                <w:i w:val="0"/>
                <w:sz w:val="18"/>
              </w:rPr>
              <w:t>135</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112</w:t>
            </w:r>
          </w:p>
        </w:tc>
        <w:tc>
          <w:tcPr>
            <w:tcW w:type="dxa" w:w="1296"/>
          </w:tcPr>
          <w:p>
            <w:pPr>
              <w:spacing w:line="240" w:lineRule="auto"/>
              <w:jc w:val="center"/>
            </w:pPr>
            <w:r>
              <w:rPr>
                <w:rFonts w:ascii="바탕" w:hAnsi="바탕" w:eastAsia="바탕"/>
                <w:b w:val="0"/>
                <w:i w:val="0"/>
                <w:sz w:val="18"/>
              </w:rPr>
              <w:t>113</w:t>
            </w:r>
          </w:p>
        </w:tc>
        <w:tc>
          <w:tcPr>
            <w:tcW w:type="dxa" w:w="1296"/>
          </w:tcPr>
          <w:p>
            <w:pPr>
              <w:spacing w:line="240" w:lineRule="auto"/>
              <w:jc w:val="center"/>
            </w:pPr>
            <w:r>
              <w:rPr>
                <w:rFonts w:ascii="바탕" w:hAnsi="바탕" w:eastAsia="바탕"/>
                <w:b w:val="0"/>
                <w:i w:val="0"/>
                <w:sz w:val="18"/>
              </w:rPr>
              <w:t>118</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w:t>
            </w:r>
          </w:p>
        </w:tc>
        <w:tc>
          <w:tcPr>
            <w:tcW w:type="dxa" w:w="1296"/>
          </w:tcPr>
          <w:p>
            <w:pPr>
              <w:spacing w:line="240" w:lineRule="auto"/>
              <w:jc w:val="center"/>
            </w:pPr>
            <w:r>
              <w:rPr>
                <w:rFonts w:ascii="바탕" w:hAnsi="바탕" w:eastAsia="바탕"/>
                <w:b w:val="0"/>
                <w:i w:val="0"/>
                <w:sz w:val="18"/>
              </w:rPr>
              <w:t>98</w:t>
            </w:r>
          </w:p>
        </w:tc>
        <w:tc>
          <w:tcPr>
            <w:tcW w:type="dxa" w:w="1296"/>
          </w:tcPr>
          <w:p>
            <w:pPr>
              <w:spacing w:line="240" w:lineRule="auto"/>
              <w:jc w:val="center"/>
            </w:pPr>
            <w:r>
              <w:rPr>
                <w:rFonts w:ascii="바탕" w:hAnsi="바탕" w:eastAsia="바탕"/>
                <w:b w:val="0"/>
                <w:i w:val="0"/>
                <w:sz w:val="18"/>
              </w:rPr>
              <w:t>37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축(linthresh=0.001)을 썼다. 왼쪽은 에피소드당 행동 횟수, 오른쪽은 목표 도달률이다.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규칙 수준에 닿는가 (MountainCar-v0)</w:t>
      </w:r>
    </w:p>
    <w:p>
      <w:pPr>
        <w:spacing w:line="276" w:lineRule="auto" w:before="0" w:after="60"/>
        <w:jc w:val="center"/>
      </w:pPr>
      <w:r>
        <w:rPr>
          <w:rFonts w:ascii="맑은 고딕" w:hAnsi="맑은 고딕" w:eastAsia="맑은 고딕"/>
          <w:b w:val="0"/>
          <w:i/>
          <w:sz w:val="18"/>
        </w:rPr>
        <w:t>Table 7. Fairness check: can learning reach rule-level performance at zero cost (λ=0) on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608"/>
            <w:shd w:val="clear" w:color="auto" w:fill="EDEDED"/>
          </w:tcPr>
          <w:p>
            <w:pPr>
              <w:spacing w:line="240" w:lineRule="auto"/>
              <w:jc w:val="center"/>
            </w:pPr>
            <w:r/>
            <w:r>
              <w:rPr>
                <w:rFonts w:ascii="맑은 고딕" w:hAnsi="맑은 고딕" w:eastAsia="맑은 고딕"/>
                <w:b/>
                <w:i w:val="0"/>
                <w:sz w:val="18"/>
              </w:rPr>
              <w:t>설정</w:t>
            </w:r>
          </w:p>
        </w:tc>
        <w:tc>
          <w:tcPr>
            <w:tcW w:type="dxa" w:w="1247"/>
            <w:shd w:val="clear" w:color="auto" w:fill="EDEDED"/>
          </w:tcPr>
          <w:p>
            <w:pPr>
              <w:spacing w:line="240" w:lineRule="auto"/>
              <w:jc w:val="center"/>
            </w:pPr>
            <w:r/>
            <w:r>
              <w:rPr>
                <w:rFonts w:ascii="맑은 고딕" w:hAnsi="맑은 고딕" w:eastAsia="맑은 고딕"/>
                <w:b/>
                <w:i w:val="0"/>
                <w:sz w:val="18"/>
              </w:rPr>
              <w:t>학습 예산</w:t>
            </w:r>
          </w:p>
        </w:tc>
        <w:tc>
          <w:tcPr>
            <w:tcW w:type="dxa" w:w="680"/>
            <w:shd w:val="clear" w:color="auto" w:fill="EDEDED"/>
          </w:tcPr>
          <w:p>
            <w:pPr>
              <w:spacing w:line="240" w:lineRule="auto"/>
              <w:jc w:val="center"/>
            </w:pPr>
            <w:r/>
            <w:r>
              <w:rPr>
                <w:rFonts w:ascii="맑은 고딕" w:hAnsi="맑은 고딕" w:eastAsia="맑은 고딕"/>
                <w:b/>
                <w:i w:val="0"/>
                <w:sz w:val="18"/>
              </w:rPr>
              <w:t>시드</w:t>
            </w:r>
          </w:p>
        </w:tc>
        <w:tc>
          <w:tcPr>
            <w:tcW w:type="dxa" w:w="1020"/>
            <w:shd w:val="clear" w:color="auto" w:fill="EDEDED"/>
          </w:tcPr>
          <w:p>
            <w:pPr>
              <w:spacing w:line="240" w:lineRule="auto"/>
              <w:jc w:val="center"/>
            </w:pPr>
            <w:r/>
            <w:r>
              <w:rPr>
                <w:rFonts w:ascii="맑은 고딕" w:hAnsi="맑은 고딕" w:eastAsia="맑은 고딕"/>
                <w:b/>
                <w:i w:val="0"/>
                <w:sz w:val="18"/>
              </w:rPr>
              <w:t>r IQM</w:t>
            </w:r>
          </w:p>
        </w:tc>
        <w:tc>
          <w:tcPr>
            <w:tcW w:type="dxa" w:w="1474"/>
            <w:shd w:val="clear" w:color="auto" w:fill="EDEDED"/>
          </w:tcPr>
          <w:p>
            <w:pPr>
              <w:spacing w:line="240" w:lineRule="auto"/>
              <w:jc w:val="center"/>
            </w:pPr>
            <w:r/>
            <w:r>
              <w:rPr>
                <w:rFonts w:ascii="맑은 고딕" w:hAnsi="맑은 고딕" w:eastAsia="맑은 고딕"/>
                <w:b/>
                <w:i w:val="0"/>
                <w:sz w:val="18"/>
              </w:rPr>
              <w:t>95% CI</w:t>
            </w:r>
          </w:p>
        </w:tc>
        <w:tc>
          <w:tcPr>
            <w:tcW w:type="dxa" w:w="1077"/>
            <w:shd w:val="clear" w:color="auto" w:fill="EDEDED"/>
          </w:tcPr>
          <w:p>
            <w:pPr>
              <w:spacing w:line="240" w:lineRule="auto"/>
              <w:jc w:val="center"/>
            </w:pPr>
            <w:r/>
            <w:r>
              <w:rPr>
                <w:rFonts w:ascii="맑은 고딕" w:hAnsi="맑은 고딕" w:eastAsia="맑은 고딕"/>
                <w:b/>
                <w:i w:val="0"/>
                <w:sz w:val="18"/>
              </w:rPr>
              <w:t>목표 도달률</w:t>
            </w:r>
          </w:p>
        </w:tc>
        <w:tc>
          <w:tcPr>
            <w:tcW w:type="dxa" w:w="964"/>
            <w:shd w:val="clear" w:color="auto" w:fill="EDEDED"/>
          </w:tcPr>
          <w:p>
            <w:pPr>
              <w:spacing w:line="240" w:lineRule="auto"/>
              <w:jc w:val="center"/>
            </w:pPr>
            <w:r/>
            <w:r>
              <w:rPr>
                <w:rFonts w:ascii="맑은 고딕" w:hAnsi="맑은 고딕" w:eastAsia="맑은 고딕"/>
                <w:b/>
                <w:i w:val="0"/>
                <w:sz w:val="18"/>
              </w:rPr>
              <w:t>행동 횟수</w:t>
            </w:r>
          </w:p>
        </w:tc>
      </w:tr>
      <w:tr>
        <w:tc>
          <w:tcPr>
            <w:tcW w:type="dxa" w:w="2608"/>
          </w:tcPr>
          <w:p>
            <w:pPr>
              <w:spacing w:line="240" w:lineRule="auto"/>
              <w:jc w:val="left"/>
            </w:pPr>
            <w:r>
              <w:rPr>
                <w:rFonts w:ascii="바탕" w:hAnsi="바탕" w:eastAsia="바탕"/>
                <w:b w:val="0"/>
                <w:i w:val="0"/>
                <w:sz w:val="18"/>
              </w:rPr>
              <w:t>본실험 설정 (ε=0.2 고정)</w:t>
            </w:r>
          </w:p>
        </w:tc>
        <w:tc>
          <w:tcPr>
            <w:tcW w:type="dxa" w:w="1247"/>
          </w:tcPr>
          <w:p>
            <w:pPr>
              <w:spacing w:line="240" w:lineRule="auto"/>
              <w:jc w:val="center"/>
            </w:pPr>
            <w:r>
              <w:rPr>
                <w:rFonts w:ascii="바탕" w:hAnsi="바탕" w:eastAsia="바탕"/>
                <w:b w:val="0"/>
                <w:i w:val="0"/>
                <w:sz w:val="18"/>
              </w:rPr>
              <w:t>300,000</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val="0"/>
                <w:i w:val="0"/>
                <w:sz w:val="18"/>
              </w:rPr>
              <w:t>-160.4</w:t>
            </w:r>
          </w:p>
        </w:tc>
        <w:tc>
          <w:tcPr>
            <w:tcW w:type="dxa" w:w="1474"/>
          </w:tcPr>
          <w:p>
            <w:pPr>
              <w:spacing w:line="240" w:lineRule="auto"/>
              <w:jc w:val="center"/>
            </w:pPr>
            <w:r>
              <w:rPr>
                <w:rFonts w:ascii="바탕" w:hAnsi="바탕" w:eastAsia="바탕"/>
                <w:b w:val="0"/>
                <w:i w:val="0"/>
                <w:sz w:val="18"/>
              </w:rPr>
              <w:t>[-179.9, -142.0]</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141</w:t>
            </w:r>
          </w:p>
        </w:tc>
      </w:tr>
      <w:tr>
        <w:tc>
          <w:tcPr>
            <w:tcW w:type="dxa" w:w="2608"/>
          </w:tcPr>
          <w:p>
            <w:pPr>
              <w:spacing w:line="240" w:lineRule="auto"/>
              <w:jc w:val="left"/>
            </w:pPr>
            <w:r>
              <w:rPr>
                <w:rFonts w:ascii="바탕" w:hAnsi="바탕" w:eastAsia="바탕"/>
                <w:b w:val="0"/>
                <w:i w:val="0"/>
                <w:sz w:val="18"/>
              </w:rPr>
              <w:t>예산 1M (ε=0.2 고정)</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4</w:t>
            </w:r>
          </w:p>
        </w:tc>
        <w:tc>
          <w:tcPr>
            <w:tcW w:type="dxa" w:w="1020"/>
          </w:tcPr>
          <w:p>
            <w:pPr>
              <w:spacing w:line="240" w:lineRule="auto"/>
              <w:jc w:val="center"/>
            </w:pPr>
            <w:r>
              <w:rPr>
                <w:rFonts w:ascii="바탕" w:hAnsi="바탕" w:eastAsia="바탕"/>
                <w:b w:val="0"/>
                <w:i w:val="0"/>
                <w:sz w:val="18"/>
              </w:rPr>
              <w:t>-151.0</w:t>
            </w:r>
          </w:p>
        </w:tc>
        <w:tc>
          <w:tcPr>
            <w:tcW w:type="dxa" w:w="1474"/>
          </w:tcPr>
          <w:p>
            <w:pPr>
              <w:spacing w:line="240" w:lineRule="auto"/>
              <w:jc w:val="center"/>
            </w:pPr>
            <w:r>
              <w:rPr>
                <w:rFonts w:ascii="바탕" w:hAnsi="바탕" w:eastAsia="바탕"/>
                <w:b w:val="0"/>
                <w:i w:val="0"/>
                <w:sz w:val="18"/>
              </w:rPr>
              <w:t>[-200.0, -128.2]</w:t>
            </w:r>
          </w:p>
        </w:tc>
        <w:tc>
          <w:tcPr>
            <w:tcW w:type="dxa" w:w="1077"/>
          </w:tcPr>
          <w:p>
            <w:pPr>
              <w:spacing w:line="240" w:lineRule="auto"/>
              <w:jc w:val="center"/>
            </w:pPr>
            <w:r>
              <w:rPr>
                <w:rFonts w:ascii="바탕" w:hAnsi="바탕" w:eastAsia="바탕"/>
                <w:b w:val="0"/>
                <w:i w:val="0"/>
                <w:sz w:val="18"/>
              </w:rPr>
              <w:t>98%</w:t>
            </w:r>
          </w:p>
        </w:tc>
        <w:tc>
          <w:tcPr>
            <w:tcW w:type="dxa" w:w="964"/>
          </w:tcPr>
          <w:p>
            <w:pPr>
              <w:spacing w:line="240" w:lineRule="auto"/>
              <w:jc w:val="center"/>
            </w:pPr>
            <w:r>
              <w:rPr>
                <w:rFonts w:ascii="바탕" w:hAnsi="바탕" w:eastAsia="바탕"/>
                <w:b w:val="0"/>
                <w:i w:val="0"/>
                <w:sz w:val="18"/>
              </w:rPr>
              <w:t>145</w:t>
            </w:r>
          </w:p>
        </w:tc>
      </w:tr>
      <w:tr>
        <w:tc>
          <w:tcPr>
            <w:tcW w:type="dxa" w:w="2608"/>
          </w:tcPr>
          <w:p>
            <w:pPr>
              <w:spacing w:line="240" w:lineRule="auto"/>
              <w:jc w:val="left"/>
            </w:pPr>
            <w:r>
              <w:rPr>
                <w:rFonts w:ascii="바탕" w:hAnsi="바탕" w:eastAsia="바탕"/>
                <w:b w:val="0"/>
                <w:i w:val="0"/>
                <w:sz w:val="18"/>
              </w:rPr>
              <w:t>예산 1M + ε 감소</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3</w:t>
            </w:r>
          </w:p>
        </w:tc>
        <w:tc>
          <w:tcPr>
            <w:tcW w:type="dxa" w:w="1020"/>
          </w:tcPr>
          <w:p>
            <w:pPr>
              <w:spacing w:line="240" w:lineRule="auto"/>
              <w:jc w:val="center"/>
            </w:pPr>
            <w:r>
              <w:rPr>
                <w:rFonts w:ascii="바탕" w:hAnsi="바탕" w:eastAsia="바탕"/>
                <w:b w:val="0"/>
                <w:i w:val="0"/>
                <w:sz w:val="18"/>
              </w:rPr>
              <w:t>-168.4</w:t>
            </w:r>
          </w:p>
        </w:tc>
        <w:tc>
          <w:tcPr>
            <w:tcW w:type="dxa" w:w="1474"/>
          </w:tcPr>
          <w:p>
            <w:pPr>
              <w:spacing w:line="240" w:lineRule="auto"/>
              <w:jc w:val="center"/>
            </w:pPr>
            <w:r>
              <w:rPr>
                <w:rFonts w:ascii="바탕" w:hAnsi="바탕" w:eastAsia="바탕"/>
                <w:b w:val="0"/>
                <w:i w:val="0"/>
                <w:sz w:val="18"/>
              </w:rPr>
              <w:t>[-200.0, -149.4]</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143</w:t>
            </w:r>
          </w:p>
        </w:tc>
      </w:tr>
      <w:tr>
        <w:tc>
          <w:tcPr>
            <w:tcW w:type="dxa" w:w="2608"/>
          </w:tcPr>
          <w:p>
            <w:pPr>
              <w:spacing w:line="240" w:lineRule="auto"/>
              <w:jc w:val="left"/>
            </w:pPr>
            <w:r>
              <w:rPr>
                <w:rFonts w:ascii="바탕" w:hAnsi="바탕" w:eastAsia="바탕"/>
                <w:b w:val="0"/>
                <w:i w:val="0"/>
                <w:sz w:val="18"/>
              </w:rPr>
              <w:t>예산 1M + ε 감소 + 용량 확대</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3</w:t>
            </w:r>
          </w:p>
        </w:tc>
        <w:tc>
          <w:tcPr>
            <w:tcW w:type="dxa" w:w="1020"/>
          </w:tcPr>
          <w:p>
            <w:pPr>
              <w:spacing w:line="240" w:lineRule="auto"/>
              <w:jc w:val="center"/>
            </w:pPr>
            <w:r>
              <w:rPr>
                <w:rFonts w:ascii="바탕" w:hAnsi="바탕" w:eastAsia="바탕"/>
                <w:b w:val="0"/>
                <w:i w:val="0"/>
                <w:sz w:val="18"/>
              </w:rPr>
              <w:t>-161.5</w:t>
            </w:r>
          </w:p>
        </w:tc>
        <w:tc>
          <w:tcPr>
            <w:tcW w:type="dxa" w:w="1474"/>
          </w:tcPr>
          <w:p>
            <w:pPr>
              <w:spacing w:line="240" w:lineRule="auto"/>
              <w:jc w:val="center"/>
            </w:pPr>
            <w:r>
              <w:rPr>
                <w:rFonts w:ascii="바탕" w:hAnsi="바탕" w:eastAsia="바탕"/>
                <w:b w:val="0"/>
                <w:i w:val="0"/>
                <w:sz w:val="18"/>
              </w:rPr>
              <w:t>[-200.0, -135.8]</w:t>
            </w:r>
          </w:p>
        </w:tc>
        <w:tc>
          <w:tcPr>
            <w:tcW w:type="dxa" w:w="1077"/>
          </w:tcPr>
          <w:p>
            <w:pPr>
              <w:spacing w:line="240" w:lineRule="auto"/>
              <w:jc w:val="center"/>
            </w:pPr>
            <w:r>
              <w:rPr>
                <w:rFonts w:ascii="바탕" w:hAnsi="바탕" w:eastAsia="바탕"/>
                <w:b w:val="0"/>
                <w:i w:val="0"/>
                <w:sz w:val="18"/>
              </w:rPr>
              <w:t>58%</w:t>
            </w:r>
          </w:p>
        </w:tc>
        <w:tc>
          <w:tcPr>
            <w:tcW w:type="dxa" w:w="964"/>
          </w:tcPr>
          <w:p>
            <w:pPr>
              <w:spacing w:line="240" w:lineRule="auto"/>
              <w:jc w:val="center"/>
            </w:pPr>
            <w:r>
              <w:rPr>
                <w:rFonts w:ascii="바탕" w:hAnsi="바탕" w:eastAsia="바탕"/>
                <w:b w:val="0"/>
                <w:i w:val="0"/>
                <w:sz w:val="18"/>
              </w:rPr>
              <w:t>129</w:t>
            </w:r>
          </w:p>
        </w:tc>
      </w:tr>
      <w:tr>
        <w:tc>
          <w:tcPr>
            <w:tcW w:type="dxa" w:w="2608"/>
          </w:tcPr>
          <w:p>
            <w:pPr>
              <w:spacing w:line="240" w:lineRule="auto"/>
              <w:jc w:val="left"/>
            </w:pPr>
            <w:r>
              <w:rPr>
                <w:rFonts w:ascii="바탕" w:hAnsi="바탕" w:eastAsia="바탕"/>
                <w:b/>
                <w:i w:val="0"/>
                <w:sz w:val="18"/>
              </w:rPr>
              <w:t>기준: pump 규칙 (학습 없음)</w:t>
            </w:r>
          </w:p>
        </w:tc>
        <w:tc>
          <w:tcPr>
            <w:tcW w:type="dxa" w:w="1247"/>
          </w:tcPr>
          <w:p>
            <w:pPr>
              <w:spacing w:line="240" w:lineRule="auto"/>
              <w:jc w:val="center"/>
            </w:pPr>
            <w:r>
              <w:rPr>
                <w:rFonts w:ascii="바탕" w:hAnsi="바탕" w:eastAsia="바탕"/>
                <w:b w:val="0"/>
                <w:i w:val="0"/>
                <w:sz w:val="18"/>
              </w:rPr>
              <w:t>—</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i w:val="0"/>
                <w:sz w:val="18"/>
              </w:rPr>
              <w:t>-119.3</w:t>
            </w:r>
          </w:p>
        </w:tc>
        <w:tc>
          <w:tcPr>
            <w:tcW w:type="dxa" w:w="1474"/>
          </w:tcPr>
          <w:p>
            <w:pPr>
              <w:spacing w:line="240" w:lineRule="auto"/>
              <w:jc w:val="center"/>
            </w:pPr>
            <w:r>
              <w:rPr>
                <w:rFonts w:ascii="바탕" w:hAnsi="바탕" w:eastAsia="바탕"/>
                <w:b w:val="0"/>
                <w:i w:val="0"/>
                <w:sz w:val="18"/>
              </w:rPr>
              <w:t>[-119.6, -119.1]</w:t>
            </w:r>
          </w:p>
        </w:tc>
        <w:tc>
          <w:tcPr>
            <w:tcW w:type="dxa" w:w="1077"/>
          </w:tcPr>
          <w:p>
            <w:pPr>
              <w:spacing w:line="240" w:lineRule="auto"/>
              <w:jc w:val="center"/>
            </w:pPr>
            <w:r>
              <w:rPr>
                <w:rFonts w:ascii="바탕" w:hAnsi="바탕" w:eastAsia="바탕"/>
                <w:b/>
                <w:i w:val="0"/>
                <w:sz w:val="18"/>
              </w:rPr>
              <w:t>100%</w:t>
            </w:r>
          </w:p>
        </w:tc>
        <w:tc>
          <w:tcPr>
            <w:tcW w:type="dxa" w:w="964"/>
          </w:tcPr>
          <w:p>
            <w:pPr>
              <w:spacing w:line="240" w:lineRule="auto"/>
              <w:jc w:val="center"/>
            </w:pPr>
            <w:r>
              <w:rPr>
                <w:rFonts w:ascii="바탕" w:hAnsi="바탕" w:eastAsia="바탕"/>
                <w:b w:val="0"/>
                <w:i w:val="0"/>
                <w:sz w:val="18"/>
              </w:rPr>
              <w:t>119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예산과 탐험 설정을 바꿔 가며 λ=0 성능을 다시 쟀다. 출처: results/aggregate/MountainCar-v0*_iqm.csv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네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넘어서지 못했다.</w:t>
      </w:r>
    </w:p>
    <w:p>
      <w:pPr>
        <w:spacing w:line="480" w:lineRule="auto" w:before="0" w:after="0"/>
        <w:ind w:firstLine="200"/>
        <w:jc w:val="both"/>
      </w:pPr>
      <w:r>
        <w:rPr>
          <w:rFonts w:ascii="바탕" w:hAnsi="바탕" w:eastAsia="바탕"/>
          <w:b/>
          <w:i w:val="0"/>
          <w:sz w:val="20"/>
        </w:rPr>
        <w:t>넷째,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셋째, 무행동 붕괴가 관찰된다.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6.2절). [실험 대기 — 결과 나오면 확정] 결과는 Ⅳ장에 그대로 싣는다.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비용)에서는 행동을 오래 유지하는 TempoRL 계열이 유리해진다. 공정 비교를 지키려고 한 가지 방식으로 고정했으나, 다른 방식은 다른 지도를 그린다 — 실제로 전환 비용으로 재면 MountainCar의 pump 규칙은 에피소드당 행동 119.3회 중 방향 전환이 3.0회뿐이어서, 무행동이 규칙을 이기기 시작하는 λ가 0.67에서 26.9로 40배 커진다. 같은 환경이라도 비용을 어떻게 세느냐가 답을 바꾼다는 뜻이다.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