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-142.0]</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val="0"/>
                <w:i w:val="0"/>
                <w:sz w:val="18"/>
              </w:rPr>
              <w:t>예산 1M (ε=0.2 고정)</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4</w:t>
            </w:r>
          </w:p>
        </w:tc>
        <w:tc>
          <w:tcPr>
            <w:tcW w:type="dxa" w:w="1020"/>
          </w:tcPr>
          <w:p>
            <w:pPr>
              <w:spacing w:line="240" w:lineRule="auto"/>
              <w:jc w:val="center"/>
            </w:pPr>
            <w:r>
              <w:rPr>
                <w:rFonts w:ascii="바탕" w:hAnsi="바탕" w:eastAsia="바탕"/>
                <w:b w:val="0"/>
                <w:i w:val="0"/>
                <w:sz w:val="18"/>
              </w:rPr>
              <w:t>-151.0</w:t>
            </w:r>
          </w:p>
        </w:tc>
        <w:tc>
          <w:tcPr>
            <w:tcW w:type="dxa" w:w="1474"/>
          </w:tcPr>
          <w:p>
            <w:pPr>
              <w:spacing w:line="240" w:lineRule="auto"/>
              <w:jc w:val="center"/>
            </w:pPr>
            <w:r>
              <w:rPr>
                <w:rFonts w:ascii="바탕" w:hAnsi="바탕" w:eastAsia="바탕"/>
                <w:b w:val="0"/>
                <w:i w:val="0"/>
                <w:sz w:val="18"/>
              </w:rPr>
              <w:t>[-200.0, -128.2]</w:t>
            </w:r>
          </w:p>
        </w:tc>
        <w:tc>
          <w:tcPr>
            <w:tcW w:type="dxa" w:w="1077"/>
          </w:tcPr>
          <w:p>
            <w:pPr>
              <w:spacing w:line="240" w:lineRule="auto"/>
              <w:jc w:val="center"/>
            </w:pPr>
            <w:r>
              <w:rPr>
                <w:rFonts w:ascii="바탕" w:hAnsi="바탕" w:eastAsia="바탕"/>
                <w:b w:val="0"/>
                <w:i w:val="0"/>
                <w:sz w:val="18"/>
              </w:rPr>
              <w:t>98%</w:t>
            </w:r>
          </w:p>
        </w:tc>
        <w:tc>
          <w:tcPr>
            <w:tcW w:type="dxa" w:w="964"/>
          </w:tcPr>
          <w:p>
            <w:pPr>
              <w:spacing w:line="240" w:lineRule="auto"/>
              <w:jc w:val="center"/>
            </w:pPr>
            <w:r>
              <w:rPr>
                <w:rFonts w:ascii="바탕" w:hAnsi="바탕" w:eastAsia="바탕"/>
                <w:b w:val="0"/>
                <w:i w:val="0"/>
                <w:sz w:val="18"/>
              </w:rPr>
              <w:t>145</w:t>
            </w:r>
          </w:p>
        </w:tc>
      </w:tr>
      <w:tr>
        <w:tc>
          <w:tcPr>
            <w:tcW w:type="dxa" w:w="2608"/>
          </w:tcPr>
          <w:p>
            <w:pPr>
              <w:spacing w:line="240" w:lineRule="auto"/>
              <w:jc w:val="left"/>
            </w:pPr>
            <w:r>
              <w:rPr>
                <w:rFonts w:ascii="바탕" w:hAnsi="바탕" w:eastAsia="바탕"/>
                <w:b w:val="0"/>
                <w:i w:val="0"/>
                <w:sz w:val="18"/>
              </w:rPr>
              <w:t>예산 1M + ε 감소</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-168.4</w:t>
            </w:r>
          </w:p>
        </w:tc>
        <w:tc>
          <w:tcPr>
            <w:tcW w:type="dxa" w:w="1474"/>
          </w:tcPr>
          <w:p>
            <w:pPr>
              <w:spacing w:line="240" w:lineRule="auto"/>
              <w:jc w:val="center"/>
            </w:pPr>
            <w:r>
              <w:rPr>
                <w:rFonts w:ascii="바탕" w:hAnsi="바탕" w:eastAsia="바탕"/>
                <w:b w:val="0"/>
                <w:i w:val="0"/>
                <w:sz w:val="18"/>
              </w:rPr>
              <w:t>[-200.0, -149.4]</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143</w:t>
            </w:r>
          </w:p>
        </w:tc>
      </w:tr>
      <w:tr>
        <w:tc>
          <w:tcPr>
            <w:tcW w:type="dxa" w:w="2608"/>
          </w:tcPr>
          <w:p>
            <w:pPr>
              <w:spacing w:line="240" w:lineRule="auto"/>
              <w:jc w:val="left"/>
            </w:pPr>
            <w:r>
              <w:rPr>
                <w:rFonts w:ascii="바탕" w:hAnsi="바탕" w:eastAsia="바탕"/>
                <w:b w:val="0"/>
                <w:i w:val="0"/>
                <w:sz w:val="18"/>
              </w:rPr>
              <w:t>예산 1M + ε 감소 + 용량 확대</w:t>
            </w:r>
          </w:p>
        </w:tc>
        <w:tc>
          <w:tcPr>
            <w:tcW w:type="dxa" w:w="1247"/>
          </w:tcPr>
          <w:p>
            <w:pPr>
              <w:spacing w:line="240" w:lineRule="auto"/>
              <w:jc w:val="center"/>
            </w:pPr>
            <w:r>
              <w:rPr>
                <w:rFonts w:ascii="바탕" w:hAnsi="바탕" w:eastAsia="바탕"/>
                <w:b w:val="0"/>
                <w:i w:val="0"/>
                <w:sz w:val="18"/>
              </w:rPr>
              <w:t>1,000,000</w:t>
            </w:r>
          </w:p>
        </w:tc>
        <w:tc>
          <w:tcPr>
            <w:tcW w:type="dxa" w:w="680"/>
          </w:tcPr>
          <w:p>
            <w:pPr>
              <w:spacing w:line="240" w:lineRule="auto"/>
              <w:jc w:val="center"/>
            </w:pPr>
            <w:r>
              <w:rPr>
                <w:rFonts w:ascii="바탕" w:hAnsi="바탕" w:eastAsia="바탕"/>
                <w:b w:val="0"/>
                <w:i w:val="0"/>
                <w:sz w:val="18"/>
              </w:rPr>
              <w:t>3</w:t>
            </w:r>
          </w:p>
        </w:tc>
        <w:tc>
          <w:tcPr>
            <w:tcW w:type="dxa" w:w="1020"/>
          </w:tcPr>
          <w:p>
            <w:pPr>
              <w:spacing w:line="240" w:lineRule="auto"/>
              <w:jc w:val="center"/>
            </w:pPr>
            <w:r>
              <w:rPr>
                <w:rFonts w:ascii="바탕" w:hAnsi="바탕" w:eastAsia="바탕"/>
                <w:b w:val="0"/>
                <w:i w:val="0"/>
                <w:sz w:val="18"/>
              </w:rPr>
              <w:t>-161.5</w:t>
            </w:r>
          </w:p>
        </w:tc>
        <w:tc>
          <w:tcPr>
            <w:tcW w:type="dxa" w:w="1474"/>
          </w:tcPr>
          <w:p>
            <w:pPr>
              <w:spacing w:line="240" w:lineRule="auto"/>
              <w:jc w:val="center"/>
            </w:pPr>
            <w:r>
              <w:rPr>
                <w:rFonts w:ascii="바탕" w:hAnsi="바탕" w:eastAsia="바탕"/>
                <w:b w:val="0"/>
                <w:i w:val="0"/>
                <w:sz w:val="18"/>
              </w:rPr>
              <w:t>[-200.0, -135.8]</w:t>
            </w:r>
          </w:p>
        </w:tc>
        <w:tc>
          <w:tcPr>
            <w:tcW w:type="dxa" w:w="1077"/>
          </w:tcPr>
          <w:p>
            <w:pPr>
              <w:spacing w:line="240" w:lineRule="auto"/>
              <w:jc w:val="center"/>
            </w:pPr>
            <w:r>
              <w:rPr>
                <w:rFonts w:ascii="바탕" w:hAnsi="바탕" w:eastAsia="바탕"/>
                <w:b w:val="0"/>
                <w:i w:val="0"/>
                <w:sz w:val="18"/>
              </w:rPr>
              <w:t>58%</w:t>
            </w:r>
          </w:p>
        </w:tc>
        <w:tc>
          <w:tcPr>
            <w:tcW w:type="dxa" w:w="964"/>
          </w:tcPr>
          <w:p>
            <w:pPr>
              <w:spacing w:line="240" w:lineRule="auto"/>
              <w:jc w:val="center"/>
            </w:pPr>
            <w:r>
              <w:rPr>
                <w:rFonts w:ascii="바탕" w:hAnsi="바탕" w:eastAsia="바탕"/>
                <w:b w:val="0"/>
                <w:i w:val="0"/>
                <w:sz w:val="18"/>
              </w:rPr>
              <w:t>129</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-119.1]</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비용)에서는 행동을 오래 유지하는 TempoRL 계열이 유리해진다. 공정 비교를 지키려고 한 가지 방식으로 고정했으나, 다른 방식은 다른 지도를 그린다 — 실제로 전환 비용으로 재면 MountainCar의 pump 규칙은 에피소드당 행동 119.3회 중 방향 전환이 3.0회뿐이어서, 무행동이 규칙을 이기기 시작하는 λ가 0.67에서 26.9로 40배 커진다. 같은 환경이라도 비용을 어떻게 세느냐가 답을 바꾼다는 뜻이다.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