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이것이 최적해인지 탐험 실패인지를 가르기 위해 비용을 학습 도중에 켜는 대조 조건을 함께 실험하였다. [실험 대기 — 결과 나오면 확정]</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조밀하고, 고정 규칙은 착륙만 시킬 뿐 점수가 낮다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두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2</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 xml:space="preserve">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1~10개까지 완료된 집계다. </w:t>
      </w:r>
      <w:r>
        <w:rPr>
          <w:rFonts w:ascii="바탕" w:hAnsi="바탕" w:eastAsia="바탕"/>
          <w:b/>
          <w:i w:val="0"/>
          <w:sz w:val="20"/>
        </w:rPr>
        <w:t>아직 실험이 끝나지 않았으므로 최종 결론이 아니다.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-163 [-200, -125]</w:t>
            </w:r>
          </w:p>
        </w:tc>
        <w:tc>
          <w:tcPr>
            <w:tcW w:type="dxa" w:w="1512"/>
          </w:tcPr>
          <w:p>
            <w:pPr>
              <w:spacing w:line="240" w:lineRule="auto"/>
              <w:jc w:val="center"/>
            </w:pPr>
            <w:r>
              <w:rPr>
                <w:rFonts w:ascii="바탕" w:hAnsi="바탕" w:eastAsia="바탕"/>
                <w:b w:val="0"/>
                <w:i w:val="0"/>
                <w:sz w:val="18"/>
              </w:rPr>
              <w:t>-179 [-179, -179]</w:t>
            </w:r>
          </w:p>
        </w:tc>
        <w:tc>
          <w:tcPr>
            <w:tcW w:type="dxa" w:w="1512"/>
          </w:tcPr>
          <w:p>
            <w:pPr>
              <w:spacing w:line="240" w:lineRule="auto"/>
              <w:jc w:val="center"/>
            </w:pPr>
            <w:r>
              <w:rPr>
                <w:rFonts w:ascii="바탕" w:hAnsi="바탕" w:eastAsia="바탕"/>
                <w:b w:val="0"/>
                <w:i w:val="0"/>
                <w:sz w:val="18"/>
              </w:rPr>
              <w:t>-163 [-163, -163]</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-139 [-156, -122]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-173 [-173, -173]</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-150 [-162, -139]</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-119 [-119,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-150 [-170, -130]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-126 [-126, -126]</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-201 [-201, -200]</w:t>
            </w:r>
          </w:p>
        </w:tc>
        <w:tc>
          <w:tcPr>
            <w:tcW w:type="dxa" w:w="1512"/>
          </w:tcPr>
          <w:p>
            <w:pPr>
              <w:spacing w:line="240" w:lineRule="auto"/>
              <w:jc w:val="center"/>
            </w:pPr>
            <w:r>
              <w:rPr>
                <w:rFonts w:ascii="바탕" w:hAnsi="바탕" w:eastAsia="바탕"/>
                <w:b w:val="0"/>
                <w:i w:val="0"/>
                <w:sz w:val="18"/>
              </w:rPr>
              <w:t>-154 [-154, -154]</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179</w:t>
            </w:r>
          </w:p>
        </w:tc>
        <w:tc>
          <w:tcPr>
            <w:tcW w:type="dxa" w:w="1512"/>
          </w:tcPr>
          <w:p>
            <w:pPr>
              <w:spacing w:line="240" w:lineRule="auto"/>
              <w:jc w:val="center"/>
            </w:pPr>
            <w:r>
              <w:rPr>
                <w:rFonts w:ascii="바탕" w:hAnsi="바탕" w:eastAsia="바탕"/>
                <w:b w:val="0"/>
                <w:i w:val="0"/>
                <w:sz w:val="18"/>
              </w:rPr>
              <w:t>163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106</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146</w:t>
            </w:r>
          </w:p>
        </w:tc>
        <w:tc>
          <w:tcPr>
            <w:tcW w:type="dxa" w:w="1512"/>
          </w:tcPr>
          <w:p>
            <w:pPr>
              <w:spacing w:line="240" w:lineRule="auto"/>
              <w:jc w:val="center"/>
            </w:pPr>
            <w:r>
              <w:rPr>
                <w:rFonts w:ascii="바탕" w:hAnsi="바탕" w:eastAsia="바탕"/>
                <w:b w:val="0"/>
                <w:i w:val="0"/>
                <w:sz w:val="18"/>
              </w:rPr>
              <w:t>11</w:t>
            </w:r>
          </w:p>
        </w:tc>
        <w:tc>
          <w:tcPr>
            <w:tcW w:type="dxa" w:w="1512"/>
          </w:tcPr>
          <w:p>
            <w:pPr>
              <w:spacing w:line="240" w:lineRule="auto"/>
              <w:jc w:val="center"/>
            </w:pPr>
            <w:r>
              <w:rPr>
                <w:rFonts w:ascii="바탕" w:hAnsi="바탕" w:eastAsia="바탕"/>
                <w:b w:val="0"/>
                <w:i w:val="0"/>
                <w:sz w:val="18"/>
              </w:rPr>
              <w:t>118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146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124</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95</w:t>
            </w:r>
          </w:p>
        </w:tc>
        <w:tc>
          <w:tcPr>
            <w:tcW w:type="dxa" w:w="1512"/>
          </w:tcPr>
          <w:p>
            <w:pPr>
              <w:spacing w:line="240" w:lineRule="auto"/>
              <w:jc w:val="center"/>
            </w:pPr>
            <w:r>
              <w:rPr>
                <w:rFonts w:ascii="바탕" w:hAnsi="바탕" w:eastAsia="바탕"/>
                <w:b w:val="0"/>
                <w:i w:val="0"/>
                <w:sz w:val="18"/>
              </w:rPr>
              <w:t>150</w:t>
            </w:r>
          </w:p>
        </w:tc>
        <w:tc>
          <w:tcPr>
            <w:tcW w:type="dxa" w:w="1512"/>
          </w:tcPr>
          <w:p>
            <w:pPr>
              <w:spacing w:line="240" w:lineRule="auto"/>
              <w:jc w:val="center"/>
            </w:pPr>
            <w:r>
              <w:rPr>
                <w:rFonts w:ascii="바탕" w:hAnsi="바탕" w:eastAsia="바탕"/>
                <w:b w:val="0"/>
                <w:i w:val="0"/>
                <w:sz w:val="18"/>
              </w:rPr>
              <w:t>67</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341</w:t>
            </w:r>
          </w:p>
        </w:tc>
        <w:tc>
          <w:tcPr>
            <w:tcW w:type="dxa" w:w="1296"/>
          </w:tcPr>
          <w:p>
            <w:pPr>
              <w:spacing w:line="240" w:lineRule="auto"/>
              <w:jc w:val="center"/>
            </w:pPr>
            <w:r>
              <w:rPr>
                <w:rFonts w:ascii="바탕" w:hAnsi="바탕" w:eastAsia="바탕"/>
                <w:b w:val="0"/>
                <w:i w:val="0"/>
                <w:sz w:val="18"/>
              </w:rPr>
              <w:t>406</w:t>
            </w:r>
          </w:p>
        </w:tc>
        <w:tc>
          <w:tcPr>
            <w:tcW w:type="dxa" w:w="1296"/>
          </w:tcPr>
          <w:p>
            <w:pPr>
              <w:spacing w:line="240" w:lineRule="auto"/>
              <w:jc w:val="center"/>
            </w:pPr>
            <w:r>
              <w:rPr>
                <w:rFonts w:ascii="바탕" w:hAnsi="바탕" w:eastAsia="바탕"/>
                <w:b w:val="0"/>
                <w:i w:val="0"/>
                <w:sz w:val="18"/>
              </w:rPr>
              <w:t>247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w:t>
            </w:r>
          </w:p>
        </w:tc>
        <w:tc>
          <w:tcPr>
            <w:tcW w:type="dxa" w:w="1296"/>
          </w:tcPr>
          <w:p>
            <w:pPr>
              <w:spacing w:line="240" w:lineRule="auto"/>
              <w:jc w:val="center"/>
            </w:pPr>
            <w:r>
              <w:rPr>
                <w:rFonts w:ascii="바탕" w:hAnsi="바탕" w:eastAsia="바탕"/>
                <w:b w:val="0"/>
                <w:i w:val="0"/>
                <w:sz w:val="18"/>
              </w:rPr>
              <w:t>393</w:t>
            </w:r>
          </w:p>
        </w:tc>
        <w:tc>
          <w:tcPr>
            <w:tcW w:type="dxa" w:w="1296"/>
          </w:tcPr>
          <w:p>
            <w:pPr>
              <w:spacing w:line="240" w:lineRule="auto"/>
              <w:jc w:val="center"/>
            </w:pPr>
            <w:r>
              <w:rPr>
                <w:rFonts w:ascii="바탕" w:hAnsi="바탕" w:eastAsia="바탕"/>
                <w:b w:val="0"/>
                <w:i w:val="0"/>
                <w:sz w:val="18"/>
              </w:rPr>
              <w:t>184</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177</w:t>
            </w:r>
          </w:p>
        </w:tc>
        <w:tc>
          <w:tcPr>
            <w:tcW w:type="dxa" w:w="1296"/>
          </w:tcPr>
          <w:p>
            <w:pPr>
              <w:spacing w:line="240" w:lineRule="auto"/>
              <w:jc w:val="center"/>
            </w:pPr>
            <w:r>
              <w:rPr>
                <w:rFonts w:ascii="바탕" w:hAnsi="바탕" w:eastAsia="바탕"/>
                <w:b w:val="0"/>
                <w:i w:val="0"/>
                <w:sz w:val="18"/>
              </w:rPr>
              <w:t>261</w:t>
            </w:r>
          </w:p>
        </w:tc>
        <w:tc>
          <w:tcPr>
            <w:tcW w:type="dxa" w:w="1296"/>
          </w:tcPr>
          <w:p>
            <w:pPr>
              <w:spacing w:line="240" w:lineRule="auto"/>
              <w:jc w:val="center"/>
            </w:pPr>
            <w:r>
              <w:rPr>
                <w:rFonts w:ascii="바탕" w:hAnsi="바탕" w:eastAsia="바탕"/>
                <w:b w:val="0"/>
                <w:i w:val="0"/>
                <w:sz w:val="18"/>
              </w:rPr>
              <w:t>151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w:t>
            </w:r>
          </w:p>
        </w:tc>
        <w:tc>
          <w:tcPr>
            <w:tcW w:type="dxa" w:w="1296"/>
          </w:tcPr>
          <w:p>
            <w:pPr>
              <w:spacing w:line="240" w:lineRule="auto"/>
              <w:jc w:val="center"/>
            </w:pPr>
            <w:r>
              <w:rPr>
                <w:rFonts w:ascii="바탕" w:hAnsi="바탕" w:eastAsia="바탕"/>
                <w:b w:val="0"/>
                <w:i w:val="0"/>
                <w:sz w:val="18"/>
              </w:rPr>
              <w:t>210</w:t>
            </w:r>
          </w:p>
        </w:tc>
        <w:tc>
          <w:tcPr>
            <w:tcW w:type="dxa" w:w="1296"/>
          </w:tcPr>
          <w:p>
            <w:pPr>
              <w:spacing w:line="240" w:lineRule="auto"/>
              <w:jc w:val="center"/>
            </w:pPr>
            <w:r>
              <w:rPr>
                <w:rFonts w:ascii="바탕" w:hAnsi="바탕" w:eastAsia="바탕"/>
                <w:b w:val="0"/>
                <w:i w:val="0"/>
                <w:sz w:val="18"/>
              </w:rPr>
              <w:t>139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149</w:t>
            </w:r>
          </w:p>
        </w:tc>
        <w:tc>
          <w:tcPr>
            <w:tcW w:type="dxa" w:w="1296"/>
          </w:tcPr>
          <w:p>
            <w:pPr>
              <w:spacing w:line="240" w:lineRule="auto"/>
              <w:jc w:val="center"/>
            </w:pPr>
            <w:r>
              <w:rPr>
                <w:rFonts w:ascii="바탕" w:hAnsi="바탕" w:eastAsia="바탕"/>
                <w:b w:val="0"/>
                <w:i w:val="0"/>
                <w:sz w:val="18"/>
              </w:rPr>
              <w:t>135</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112</w:t>
            </w:r>
          </w:p>
        </w:tc>
        <w:tc>
          <w:tcPr>
            <w:tcW w:type="dxa" w:w="1296"/>
          </w:tcPr>
          <w:p>
            <w:pPr>
              <w:spacing w:line="240" w:lineRule="auto"/>
              <w:jc w:val="center"/>
            </w:pPr>
            <w:r>
              <w:rPr>
                <w:rFonts w:ascii="바탕" w:hAnsi="바탕" w:eastAsia="바탕"/>
                <w:b w:val="0"/>
                <w:i w:val="0"/>
                <w:sz w:val="18"/>
              </w:rPr>
              <w:t>113</w:t>
            </w:r>
          </w:p>
        </w:tc>
        <w:tc>
          <w:tcPr>
            <w:tcW w:type="dxa" w:w="1296"/>
          </w:tcPr>
          <w:p>
            <w:pPr>
              <w:spacing w:line="240" w:lineRule="auto"/>
              <w:jc w:val="center"/>
            </w:pPr>
            <w:r>
              <w:rPr>
                <w:rFonts w:ascii="바탕" w:hAnsi="바탕" w:eastAsia="바탕"/>
                <w:b w:val="0"/>
                <w:i w:val="0"/>
                <w:sz w:val="18"/>
              </w:rPr>
              <w:t>118</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w:t>
            </w:r>
          </w:p>
        </w:tc>
        <w:tc>
          <w:tcPr>
            <w:tcW w:type="dxa" w:w="1296"/>
          </w:tcPr>
          <w:p>
            <w:pPr>
              <w:spacing w:line="240" w:lineRule="auto"/>
              <w:jc w:val="center"/>
            </w:pPr>
            <w:r>
              <w:rPr>
                <w:rFonts w:ascii="바탕" w:hAnsi="바탕" w:eastAsia="바탕"/>
                <w:b w:val="0"/>
                <w:i w:val="0"/>
                <w:sz w:val="18"/>
              </w:rPr>
              <w:t>98</w:t>
            </w:r>
          </w:p>
        </w:tc>
        <w:tc>
          <w:tcPr>
            <w:tcW w:type="dxa" w:w="1296"/>
          </w:tcPr>
          <w:p>
            <w:pPr>
              <w:spacing w:line="240" w:lineRule="auto"/>
              <w:jc w:val="center"/>
            </w:pPr>
            <w:r>
              <w:rPr>
                <w:rFonts w:ascii="바탕" w:hAnsi="바탕" w:eastAsia="바탕"/>
                <w:b w:val="0"/>
                <w:i w:val="0"/>
                <w:sz w:val="18"/>
              </w:rPr>
              <w:t>37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0.003, 완전히 0이 되는 첫 λ = 0.005</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그 환경의 규칙 수준에 닿는가</w:t>
      </w:r>
    </w:p>
    <w:p>
      <w:pPr>
        <w:spacing w:line="276" w:lineRule="auto" w:before="0" w:after="60"/>
        <w:jc w:val="center"/>
      </w:pPr>
      <w:r>
        <w:rPr>
          <w:rFonts w:ascii="맑은 고딕" w:hAnsi="맑은 고딕" w:eastAsia="맑은 고딕"/>
          <w:b w:val="0"/>
          <w:i/>
          <w:sz w:val="18"/>
        </w:rPr>
        <w:t>Table 7.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35.8</w:t>
            </w:r>
          </w:p>
        </w:tc>
        <w:tc>
          <w:tcPr>
            <w:tcW w:type="dxa" w:w="1361"/>
          </w:tcPr>
          <w:p>
            <w:pPr>
              <w:spacing w:line="240" w:lineRule="auto"/>
              <w:jc w:val="center"/>
            </w:pPr>
            <w:r>
              <w:rPr>
                <w:rFonts w:ascii="바탕" w:hAnsi="바탕" w:eastAsia="바탕"/>
                <w:b w:val="0"/>
                <w:i w:val="0"/>
                <w:sz w:val="18"/>
              </w:rPr>
              <w:t>[34.3, 37.6]</w:t>
            </w:r>
          </w:p>
        </w:tc>
        <w:tc>
          <w:tcPr>
            <w:tcW w:type="dxa" w:w="794"/>
          </w:tcPr>
          <w:p>
            <w:pPr>
              <w:spacing w:line="240" w:lineRule="auto"/>
              <w:jc w:val="center"/>
            </w:pPr>
            <w:r>
              <w:rPr>
                <w:rFonts w:ascii="바탕" w:hAnsi="바탕" w:eastAsia="바탕"/>
                <w:b/>
                <w:i w:val="0"/>
                <w:sz w:val="18"/>
              </w:rPr>
              <w:t>100%</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네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넘어서지 못했다.</w:t>
      </w:r>
    </w:p>
    <w:p>
      <w:pPr>
        <w:spacing w:line="480" w:lineRule="auto" w:before="0" w:after="0"/>
        <w:ind w:firstLine="200"/>
        <w:jc w:val="both"/>
      </w:pPr>
      <w:r>
        <w:rPr>
          <w:rFonts w:ascii="바탕" w:hAnsi="바탕" w:eastAsia="바탕"/>
          <w:b/>
          <w:i w:val="0"/>
          <w:sz w:val="20"/>
        </w:rPr>
        <w:t>넷째,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셋째,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6.2절).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spacing w:line="276" w:lineRule="auto" w:before="200" w:after="40"/>
        <w:jc w:val="center"/>
      </w:pPr>
      <w:r>
        <w:rPr>
          <w:rFonts w:ascii="맑은 고딕" w:hAnsi="맑은 고딕" w:eastAsia="맑은 고딕"/>
          <w:b/>
          <w:i w:val="0"/>
          <w:sz w:val="19"/>
        </w:rPr>
        <w:t>표 8. 비용 부과 방식을 바꾸면 λ 눈금이 얼마나 달라지는가 (고정 규칙, 100 에피소드)</w:t>
      </w:r>
    </w:p>
    <w:p>
      <w:pPr>
        <w:spacing w:line="276" w:lineRule="auto" w:before="0" w:after="60"/>
        <w:jc w:val="center"/>
      </w:pPr>
      <w:r>
        <w:rPr>
          <w:rFonts w:ascii="맑은 고딕" w:hAnsi="맑은 고딕" w:eastAsia="맑은 고딕"/>
          <w:b w:val="0"/>
          <w:i/>
          <w:sz w:val="18"/>
        </w:rPr>
        <w:t>Table 8. How the λ scale shifts when the cost model changes (fixed rules,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 / 규칙</w:t>
            </w:r>
          </w:p>
        </w:tc>
        <w:tc>
          <w:tcPr>
            <w:tcW w:type="dxa" w:w="1512"/>
            <w:shd w:val="clear" w:color="auto" w:fill="EDEDED"/>
          </w:tcPr>
          <w:p>
            <w:pPr>
              <w:spacing w:line="240" w:lineRule="auto"/>
              <w:jc w:val="center"/>
            </w:pPr>
            <w:r/>
            <w:r>
              <w:rPr>
                <w:rFonts w:ascii="맑은 고딕" w:hAnsi="맑은 고딕" w:eastAsia="맑은 고딕"/>
                <w:b/>
                <w:i w:val="0"/>
                <w:sz w:val="18"/>
              </w:rPr>
              <w:t>매 스텝 과금</w:t>
            </w:r>
          </w:p>
        </w:tc>
        <w:tc>
          <w:tcPr>
            <w:tcW w:type="dxa" w:w="1512"/>
            <w:shd w:val="clear" w:color="auto" w:fill="EDEDED"/>
          </w:tcPr>
          <w:p>
            <w:pPr>
              <w:spacing w:line="240" w:lineRule="auto"/>
              <w:jc w:val="center"/>
            </w:pPr>
            <w:r/>
            <w:r>
              <w:rPr>
                <w:rFonts w:ascii="맑은 고딕" w:hAnsi="맑은 고딕" w:eastAsia="맑은 고딕"/>
                <w:b/>
                <w:i w:val="0"/>
                <w:sz w:val="18"/>
              </w:rPr>
              <w:t>전환 과금</w:t>
            </w:r>
          </w:p>
        </w:tc>
        <w:tc>
          <w:tcPr>
            <w:tcW w:type="dxa" w:w="1512"/>
            <w:shd w:val="clear" w:color="auto" w:fill="EDEDED"/>
          </w:tcPr>
          <w:p>
            <w:pPr>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spacing w:line="240" w:lineRule="auto"/>
              <w:jc w:val="center"/>
            </w:pPr>
            <w:r/>
            <w:r>
              <w:rPr>
                <w:rFonts w:ascii="맑은 고딕" w:hAnsi="맑은 고딕" w:eastAsia="맑은 고딕"/>
                <w:b/>
                <w:i w:val="0"/>
                <w:sz w:val="18"/>
              </w:rPr>
              <w:t>λ_교차 (전환)</w:t>
            </w:r>
          </w:p>
        </w:tc>
        <w:tc>
          <w:tcPr>
            <w:tcW w:type="dxa" w:w="1512"/>
            <w:shd w:val="clear" w:color="auto" w:fill="EDEDED"/>
          </w:tcPr>
          <w:p>
            <w:pPr>
              <w:spacing w:line="240" w:lineRule="auto"/>
              <w:jc w:val="center"/>
            </w:pPr>
            <w:r/>
            <w:r>
              <w:rPr>
                <w:rFonts w:ascii="맑은 고딕" w:hAnsi="맑은 고딕" w:eastAsia="맑은 고딕"/>
                <w:b/>
                <w:i w:val="0"/>
                <w:sz w:val="18"/>
              </w:rPr>
              <w:t>배율</w:t>
            </w:r>
          </w:p>
        </w:tc>
      </w:tr>
      <w:tr>
        <w:tc>
          <w:tcPr>
            <w:tcW w:type="dxa" w:w="1512"/>
          </w:tcPr>
          <w:p>
            <w:pPr>
              <w:spacing w:line="240" w:lineRule="auto"/>
              <w:jc w:val="left"/>
            </w:pPr>
            <w:r>
              <w:rPr>
                <w:rFonts w:ascii="바탕" w:hAnsi="바탕" w:eastAsia="바탕"/>
                <w:b w:val="0"/>
                <w:i w:val="0"/>
                <w:sz w:val="18"/>
              </w:rPr>
              <w:t>MountainCar / pump</w:t>
            </w:r>
          </w:p>
        </w:tc>
        <w:tc>
          <w:tcPr>
            <w:tcW w:type="dxa" w:w="1512"/>
          </w:tcPr>
          <w:p>
            <w:pPr>
              <w:spacing w:line="240" w:lineRule="auto"/>
              <w:jc w:val="center"/>
            </w:pPr>
            <w:r>
              <w:rPr>
                <w:rFonts w:ascii="바탕" w:hAnsi="바탕" w:eastAsia="바탕"/>
                <w:b w:val="0"/>
                <w:i w:val="0"/>
                <w:sz w:val="18"/>
              </w:rPr>
              <w:t>119.2</w:t>
            </w:r>
          </w:p>
        </w:tc>
        <w:tc>
          <w:tcPr>
            <w:tcW w:type="dxa" w:w="1512"/>
          </w:tcPr>
          <w:p>
            <w:pPr>
              <w:spacing w:line="240" w:lineRule="auto"/>
              <w:jc w:val="center"/>
            </w:pPr>
            <w:r>
              <w:rPr>
                <w:rFonts w:ascii="바탕" w:hAnsi="바탕" w:eastAsia="바탕"/>
                <w:b/>
                <w:i w:val="0"/>
                <w:sz w:val="18"/>
              </w:rPr>
              <w:t>3.0</w:t>
            </w:r>
          </w:p>
        </w:tc>
        <w:tc>
          <w:tcPr>
            <w:tcW w:type="dxa" w:w="1512"/>
          </w:tcPr>
          <w:p>
            <w:pPr>
              <w:spacing w:line="240" w:lineRule="auto"/>
              <w:jc w:val="center"/>
            </w:pPr>
            <w:r>
              <w:rPr>
                <w:rFonts w:ascii="바탕" w:hAnsi="바탕" w:eastAsia="바탕"/>
                <w:b w:val="0"/>
                <w:i w:val="0"/>
                <w:sz w:val="18"/>
              </w:rPr>
              <w:t>0.673</w:t>
            </w:r>
          </w:p>
        </w:tc>
        <w:tc>
          <w:tcPr>
            <w:tcW w:type="dxa" w:w="1512"/>
          </w:tcPr>
          <w:p>
            <w:pPr>
              <w:spacing w:line="240" w:lineRule="auto"/>
              <w:jc w:val="center"/>
            </w:pPr>
            <w:r>
              <w:rPr>
                <w:rFonts w:ascii="바탕" w:hAnsi="바탕" w:eastAsia="바탕"/>
                <w:b/>
                <w:i w:val="0"/>
                <w:sz w:val="18"/>
              </w:rPr>
              <w:t>26.73</w:t>
            </w:r>
          </w:p>
        </w:tc>
        <w:tc>
          <w:tcPr>
            <w:tcW w:type="dxa" w:w="1512"/>
          </w:tcPr>
          <w:p>
            <w:pPr>
              <w:spacing w:line="240" w:lineRule="auto"/>
              <w:jc w:val="center"/>
            </w:pPr>
            <w:r>
              <w:rPr>
                <w:rFonts w:ascii="바탕" w:hAnsi="바탕" w:eastAsia="바탕"/>
                <w:b/>
                <w:i w:val="0"/>
                <w:sz w:val="18"/>
              </w:rPr>
              <w:t>39.7배</w:t>
            </w:r>
          </w:p>
        </w:tc>
      </w:tr>
      <w:tr>
        <w:tc>
          <w:tcPr>
            <w:tcW w:type="dxa" w:w="1512"/>
          </w:tcPr>
          <w:p>
            <w:pPr>
              <w:spacing w:line="240" w:lineRule="auto"/>
              <w:jc w:val="left"/>
            </w:pPr>
            <w:r>
              <w:rPr>
                <w:rFonts w:ascii="바탕" w:hAnsi="바탕" w:eastAsia="바탕"/>
                <w:b w:val="0"/>
                <w:i w:val="0"/>
                <w:sz w:val="18"/>
              </w:rPr>
              <w:t>LunarLander / 임계값</w:t>
            </w:r>
          </w:p>
        </w:tc>
        <w:tc>
          <w:tcPr>
            <w:tcW w:type="dxa" w:w="1512"/>
          </w:tcPr>
          <w:p>
            <w:pPr>
              <w:spacing w:line="240" w:lineRule="auto"/>
              <w:jc w:val="center"/>
            </w:pPr>
            <w:r>
              <w:rPr>
                <w:rFonts w:ascii="바탕" w:hAnsi="바탕" w:eastAsia="바탕"/>
                <w:b w:val="0"/>
                <w:i w:val="0"/>
                <w:sz w:val="18"/>
              </w:rPr>
              <w:t>123.7</w:t>
            </w:r>
          </w:p>
        </w:tc>
        <w:tc>
          <w:tcPr>
            <w:tcW w:type="dxa" w:w="1512"/>
          </w:tcPr>
          <w:p>
            <w:pPr>
              <w:spacing w:line="240" w:lineRule="auto"/>
              <w:jc w:val="center"/>
            </w:pPr>
            <w:r>
              <w:rPr>
                <w:rFonts w:ascii="바탕" w:hAnsi="바탕" w:eastAsia="바탕"/>
                <w:b w:val="0"/>
                <w:i w:val="0"/>
                <w:sz w:val="18"/>
              </w:rPr>
              <w:t>128.2</w:t>
            </w:r>
          </w:p>
        </w:tc>
        <w:tc>
          <w:tcPr>
            <w:tcW w:type="dxa" w:w="1512"/>
          </w:tcPr>
          <w:p>
            <w:pPr>
              <w:spacing w:line="240" w:lineRule="auto"/>
              <w:jc w:val="center"/>
            </w:pPr>
            <w:r>
              <w:rPr>
                <w:rFonts w:ascii="바탕" w:hAnsi="바탕" w:eastAsia="바탕"/>
                <w:b w:val="0"/>
                <w:i w:val="0"/>
                <w:sz w:val="18"/>
              </w:rPr>
              <w:t>1.412</w:t>
            </w:r>
          </w:p>
        </w:tc>
        <w:tc>
          <w:tcPr>
            <w:tcW w:type="dxa" w:w="1512"/>
          </w:tcPr>
          <w:p>
            <w:pPr>
              <w:spacing w:line="240" w:lineRule="auto"/>
              <w:jc w:val="center"/>
            </w:pPr>
            <w:r>
              <w:rPr>
                <w:rFonts w:ascii="바탕" w:hAnsi="바탕" w:eastAsia="바탕"/>
                <w:b w:val="0"/>
                <w:i w:val="0"/>
                <w:sz w:val="18"/>
              </w:rPr>
              <w:t>1.362</w:t>
            </w:r>
          </w:p>
        </w:tc>
        <w:tc>
          <w:tcPr>
            <w:tcW w:type="dxa" w:w="1512"/>
          </w:tcPr>
          <w:p>
            <w:pPr>
              <w:spacing w:line="240" w:lineRule="auto"/>
              <w:jc w:val="center"/>
            </w:pPr>
            <w:r>
              <w:rPr>
                <w:rFonts w:ascii="바탕" w:hAnsi="바탕" w:eastAsia="바탕"/>
                <w:b w:val="0"/>
                <w:i w:val="0"/>
                <w:sz w:val="18"/>
              </w:rPr>
              <w:t>1.0배</w:t>
            </w:r>
          </w:p>
        </w:tc>
      </w:tr>
      <w:t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299.0</w:t>
            </w:r>
          </w:p>
        </w:tc>
        <w:tc>
          <w:tcPr>
            <w:tcW w:type="dxa" w:w="1512"/>
          </w:tcPr>
          <w:p>
            <w:pPr>
              <w:spacing w:line="240" w:lineRule="auto"/>
              <w:jc w:val="center"/>
            </w:pPr>
            <w:r>
              <w:rPr>
                <w:rFonts w:ascii="바탕" w:hAnsi="바탕" w:eastAsia="바탕"/>
                <w:b/>
                <w:i w:val="0"/>
                <w:sz w:val="18"/>
              </w:rPr>
              <w:t>591.7</w:t>
            </w:r>
          </w:p>
        </w:tc>
        <w:tc>
          <w:tcPr>
            <w:tcW w:type="dxa" w:w="1512"/>
          </w:tcPr>
          <w:p>
            <w:pPr>
              <w:spacing w:line="240" w:lineRule="auto"/>
              <w:jc w:val="center"/>
            </w:pPr>
            <w:r>
              <w:rPr>
                <w:rFonts w:ascii="바탕" w:hAnsi="바탕" w:eastAsia="바탕"/>
                <w:b w:val="0"/>
                <w:i w:val="0"/>
                <w:sz w:val="18"/>
              </w:rPr>
              <w:t>0.062</w:t>
            </w:r>
          </w:p>
        </w:tc>
        <w:tc>
          <w:tcPr>
            <w:tcW w:type="dxa" w:w="1512"/>
          </w:tcPr>
          <w:p>
            <w:pPr>
              <w:spacing w:line="240" w:lineRule="auto"/>
              <w:jc w:val="center"/>
            </w:pPr>
            <w:r>
              <w:rPr>
                <w:rFonts w:ascii="바탕" w:hAnsi="바탕" w:eastAsia="바탕"/>
                <w:b/>
                <w:i w:val="0"/>
                <w:sz w:val="18"/>
              </w:rPr>
              <w:t>0.031</w:t>
            </w:r>
          </w:p>
        </w:tc>
        <w:tc>
          <w:tcPr>
            <w:tcW w:type="dxa" w:w="1512"/>
          </w:tcPr>
          <w:p>
            <w:pPr>
              <w:spacing w:line="240" w:lineRule="auto"/>
              <w:jc w:val="center"/>
            </w:pPr>
            <w:r>
              <w:rPr>
                <w:rFonts w:ascii="바탕" w:hAnsi="바탕" w:eastAsia="바탕"/>
                <w:b w:val="0"/>
                <w:i w:val="0"/>
                <w:sz w:val="18"/>
              </w:rPr>
              <w:t>0.5배</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