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희소한 MountainCar-v0, 보상이 조밀한 LunarLander-v3, 그리고 규칙 품질은 그 사이지만 보상은 희소한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1000스텝이다. </w:t>
      </w:r>
      <w:r>
        <w:rPr>
          <w:rFonts w:ascii="바탕" w:hAnsi="바탕" w:eastAsia="바탕"/>
          <w:b/>
          <w:i w:val="0"/>
          <w:sz w:val="20"/>
        </w:rPr>
        <w:t>규칙 품질</w:t>
      </w:r>
      <w:r>
        <w:rPr>
          <w:rFonts w:ascii="바탕" w:hAnsi="바탕" w:eastAsia="바탕"/>
          <w:b w:val="0"/>
          <w:i w:val="0"/>
          <w:sz w:val="20"/>
        </w:rPr>
        <w:t xml:space="preserve"> 축에서는 앞의 두 환경 사이지만 </w:t>
      </w:r>
      <w:r>
        <w:rPr>
          <w:rFonts w:ascii="바탕" w:hAnsi="바탕" w:eastAsia="바탕"/>
          <w:b/>
          <w:i w:val="0"/>
          <w:sz w:val="20"/>
        </w:rPr>
        <w:t>보상 조밀도</w:t>
      </w:r>
      <w:r>
        <w:rPr>
          <w:rFonts w:ascii="바탕" w:hAnsi="바탕" w:eastAsia="바탕"/>
          <w:b w:val="0"/>
          <w:i w:val="0"/>
          <w:sz w:val="20"/>
        </w:rPr>
        <w:t xml:space="preserve"> 축에서는 MountainCar 쪽 끝이다 — 두 축이 갈리는 환경이라 어느 축이 λ*를 가르는지 시험할 수 있다(Ⅳ장 6절).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 xml:space="preserve">'조밀하다·희소하다'는 말로만 두지 않고 </w:t>
      </w:r>
      <w:r>
        <w:rPr>
          <w:rFonts w:ascii="바탕" w:hAnsi="바탕" w:eastAsia="바탕"/>
          <w:b/>
          <w:i w:val="0"/>
          <w:sz w:val="20"/>
        </w:rPr>
        <w:t>실제로 쟀다.</w:t>
      </w:r>
      <w:r>
        <w:rPr>
          <w:rFonts w:ascii="바탕" w:hAnsi="바탕" w:eastAsia="바탕"/>
          <w:b w:val="0"/>
          <w:i w:val="0"/>
          <w:sz w:val="20"/>
        </w:rPr>
        <w:t xml:space="preserve"> '보상이 0이 아닌 스텝의 비율'은 이 연구에 맞지 않는다 — MountainCar는 매 스텝 −1을 주므로 그 기준으로는 100% 조밀해 보이지만, 그 −1은 </w:t>
      </w:r>
      <w:r>
        <w:rPr>
          <w:rFonts w:ascii="바탕" w:hAnsi="바탕" w:eastAsia="바탕"/>
          <w:b/>
          <w:i w:val="0"/>
          <w:sz w:val="20"/>
        </w:rPr>
        <w:t>어느 상태에서나 같아</w:t>
      </w:r>
      <w:r>
        <w:rPr>
          <w:rFonts w:ascii="바탕" w:hAnsi="바탕" w:eastAsia="바탕"/>
          <w:b w:val="0"/>
          <w:i w:val="0"/>
          <w:sz w:val="20"/>
        </w:rPr>
        <w:t xml:space="preserve"> 아무 정보도 주지 않는다. 그래서 </w:t>
      </w:r>
      <w:r>
        <w:rPr>
          <w:rFonts w:ascii="바탕" w:hAnsi="바탕" w:eastAsia="바탕"/>
          <w:b/>
          <w:i w:val="0"/>
          <w:sz w:val="20"/>
        </w:rPr>
        <w:t>보상이 상태를 구분해 주는 정도</w:t>
      </w:r>
      <w:r>
        <w:rPr>
          <w:rFonts w:ascii="바탕" w:hAnsi="바탕" w:eastAsia="바탕"/>
          <w:b w:val="0"/>
          <w:i w:val="0"/>
          <w:sz w:val="20"/>
        </w:rPr>
        <w:t>를 쟀다. 각 환경의 기준 규칙으로 60 에피소드를 돌려, 서로 다른 보상 값이 몇 가지인지와 최빈값이 아닌 보상을 받은 스텝의 비율을 세었다.</w:t>
      </w:r>
    </w:p>
    <w:p>
      <w:pPr>
        <w:widowControl/>
        <w:spacing w:line="480" w:lineRule="auto" w:before="0" w:after="0"/>
        <w:ind w:firstLine="400"/>
        <w:jc w:val="both"/>
      </w:pPr>
      <w:r>
        <w:rPr>
          <w:rFonts w:ascii="바탕" w:hAnsi="바탕" w:eastAsia="바탕"/>
          <w:b w:val="0"/>
          <w:i w:val="0"/>
          <w:sz w:val="20"/>
        </w:rPr>
        <w:t xml:space="preserve">MountainCar에서는 서로 다른 보상 값이 </w:t>
      </w:r>
      <w:r>
        <w:rPr>
          <w:rFonts w:ascii="바탕" w:hAnsi="바탕" w:eastAsia="바탕"/>
          <w:b/>
          <w:i w:val="0"/>
          <w:sz w:val="20"/>
        </w:rPr>
        <w:t>1가지</w:t>
      </w:r>
      <w:r>
        <w:rPr>
          <w:rFonts w:ascii="바탕" w:hAnsi="바탕" w:eastAsia="바탕"/>
          <w:b w:val="0"/>
          <w:i w:val="0"/>
          <w:sz w:val="20"/>
        </w:rPr>
        <w:t xml:space="preserve">뿐이었다. 전 구간에서 같은 값만 나온다는 뜻이고, 신호가 있는 스텝은 </w:t>
      </w:r>
      <w:r>
        <w:rPr>
          <w:rFonts w:ascii="바탕" w:hAnsi="바탕" w:eastAsia="바탕"/>
          <w:b/>
          <w:i w:val="0"/>
          <w:sz w:val="20"/>
        </w:rPr>
        <w:t>0.0%</w:t>
      </w:r>
      <w:r>
        <w:rPr>
          <w:rFonts w:ascii="바탕" w:hAnsi="바탕" w:eastAsia="바탕"/>
          <w:b w:val="0"/>
          <w:i w:val="0"/>
          <w:sz w:val="20"/>
        </w:rPr>
        <w:t xml:space="preserve"> 다. LunarLander는 16,717가지에 </w:t>
      </w:r>
      <w:r>
        <w:rPr>
          <w:rFonts w:ascii="바탕" w:hAnsi="바탕" w:eastAsia="바탕"/>
          <w:b/>
          <w:i w:val="0"/>
          <w:sz w:val="20"/>
        </w:rPr>
        <w:t>99.8%</w:t>
      </w:r>
      <w:r>
        <w:rPr>
          <w:rFonts w:ascii="바탕" w:hAnsi="바탕" w:eastAsia="바탕"/>
          <w:b w:val="0"/>
          <w:i w:val="0"/>
          <w:sz w:val="20"/>
        </w:rPr>
        <w:t xml:space="preserve"> 이고, MinAtar/Freeway는 2가지에 </w:t>
      </w:r>
      <w:r>
        <w:rPr>
          <w:rFonts w:ascii="바탕" w:hAnsi="바탕" w:eastAsia="바탕"/>
          <w:b/>
          <w:i w:val="0"/>
          <w:sz w:val="20"/>
        </w:rPr>
        <w:t>1.6%</w:t>
      </w:r>
      <w:r>
        <w:rPr>
          <w:rFonts w:ascii="바탕" w:hAnsi="바탕" w:eastAsia="바탕"/>
          <w:b w:val="0"/>
          <w:i w:val="0"/>
          <w:sz w:val="20"/>
        </w:rPr>
        <w:t xml:space="preserve"> 로 그 사이에 놓인다. </w:t>
      </w:r>
      <w:r>
        <w:rPr>
          <w:rFonts w:ascii="바탕" w:hAnsi="바탕" w:eastAsia="바탕"/>
          <w:b/>
          <w:i w:val="0"/>
          <w:sz w:val="20"/>
        </w:rPr>
        <w:t>세 환경을 '희소 — 중간 — 조밀'로 부른 것이 인상이 아니라 측정이라는 뜻이다.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[-181, -142]</w:t>
            </w:r>
          </w:p>
        </w:tc>
        <w:tc>
          <w:tcPr>
            <w:tcW w:type="dxa" w:w="1512"/>
          </w:tcPr>
          <w:p>
            <w:pPr>
              <w:spacing w:line="240" w:lineRule="auto"/>
              <w:jc w:val="center"/>
            </w:pPr>
            <w:r>
              <w:rPr>
                <w:rFonts w:ascii="바탕" w:hAnsi="바탕" w:eastAsia="바탕"/>
                <w:b w:val="0"/>
                <w:i w:val="0"/>
                <w:sz w:val="18"/>
              </w:rPr>
              <w:t>-141 [-159, -128]</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-145 [-171, -129]</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-141]</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[-191, -140]</w:t>
            </w:r>
          </w:p>
        </w:tc>
        <w:tc>
          <w:tcPr>
            <w:tcW w:type="dxa" w:w="1512"/>
          </w:tcPr>
          <w:p>
            <w:pPr>
              <w:spacing w:line="240" w:lineRule="auto"/>
              <w:jc w:val="center"/>
            </w:pPr>
            <w:r>
              <w:rPr>
                <w:rFonts w:ascii="바탕" w:hAnsi="바탕" w:eastAsia="바탕"/>
                <w:b w:val="0"/>
                <w:i w:val="0"/>
                <w:sz w:val="18"/>
              </w:rPr>
              <w:t>-149 [-174, -135]</w:t>
            </w:r>
          </w:p>
        </w:tc>
        <w:tc>
          <w:tcPr>
            <w:tcW w:type="dxa" w:w="1512"/>
          </w:tcPr>
          <w:p>
            <w:pPr>
              <w:spacing w:line="240" w:lineRule="auto"/>
              <w:jc w:val="center"/>
            </w:pPr>
            <w:r>
              <w:rPr>
                <w:rFonts w:ascii="바탕" w:hAnsi="바탕" w:eastAsia="바탕"/>
                <w:b w:val="0"/>
                <w:i w:val="0"/>
                <w:sz w:val="18"/>
              </w:rPr>
              <w:t>-144 [-173, -120]</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[-161,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-168]</w:t>
            </w:r>
          </w:p>
        </w:tc>
        <w:tc>
          <w:tcPr>
            <w:tcW w:type="dxa" w:w="1512"/>
          </w:tcPr>
          <w:p>
            <w:pPr>
              <w:spacing w:line="240" w:lineRule="auto"/>
              <w:jc w:val="center"/>
            </w:pPr>
            <w:r>
              <w:rPr>
                <w:rFonts w:ascii="바탕" w:hAnsi="바탕" w:eastAsia="바탕"/>
                <w:b w:val="0"/>
                <w:i w:val="0"/>
                <w:sz w:val="18"/>
              </w:rPr>
              <w:t>-156 [-175, -133]</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-158]</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-158]</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[-143,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[-198,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217]</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[129,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[145,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[55,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[171, 227]</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[3, 158]</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[129,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[-2, 128]</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[-60, 34]</w:t>
            </w:r>
          </w:p>
        </w:tc>
        <w:tc>
          <w:tcPr>
            <w:tcW w:type="dxa" w:w="1296"/>
          </w:tcPr>
          <w:p>
            <w:pPr>
              <w:spacing w:line="240" w:lineRule="auto"/>
              <w:jc w:val="center"/>
            </w:pPr>
            <w:r>
              <w:rPr>
                <w:rFonts w:ascii="바탕" w:hAnsi="바탕" w:eastAsia="바탕"/>
                <w:b w:val="0"/>
                <w:i w:val="0"/>
                <w:sz w:val="18"/>
              </w:rPr>
              <w:t>-34 [-129, 26]</w:t>
            </w:r>
          </w:p>
        </w:tc>
        <w:tc>
          <w:tcPr>
            <w:tcW w:type="dxa" w:w="1296"/>
          </w:tcPr>
          <w:p>
            <w:pPr>
              <w:spacing w:line="240" w:lineRule="auto"/>
              <w:jc w:val="center"/>
            </w:pPr>
            <w:r>
              <w:rPr>
                <w:rFonts w:ascii="바탕" w:hAnsi="바탕" w:eastAsia="바탕"/>
                <w:b w:val="0"/>
                <w:i w:val="0"/>
                <w:sz w:val="18"/>
              </w:rPr>
              <w:t>37 [-40,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[-94, -14]</w:t>
            </w:r>
          </w:p>
        </w:tc>
        <w:tc>
          <w:tcPr>
            <w:tcW w:type="dxa" w:w="1296"/>
          </w:tcPr>
          <w:p>
            <w:pPr>
              <w:spacing w:line="240" w:lineRule="auto"/>
              <w:jc w:val="center"/>
            </w:pPr>
            <w:r>
              <w:rPr>
                <w:rFonts w:ascii="바탕" w:hAnsi="바탕" w:eastAsia="바탕"/>
                <w:b w:val="0"/>
                <w:i w:val="0"/>
                <w:sz w:val="18"/>
              </w:rPr>
              <w:t>-28 [-61, -3]</w:t>
            </w:r>
          </w:p>
        </w:tc>
        <w:tc>
          <w:tcPr>
            <w:tcW w:type="dxa" w:w="1296"/>
          </w:tcPr>
          <w:p>
            <w:pPr>
              <w:spacing w:line="240" w:lineRule="auto"/>
              <w:jc w:val="center"/>
            </w:pPr>
            <w:r>
              <w:rPr>
                <w:rFonts w:ascii="바탕" w:hAnsi="바탕" w:eastAsia="바탕"/>
                <w:b w:val="0"/>
                <w:i w:val="0"/>
                <w:sz w:val="18"/>
              </w:rPr>
              <w:t>5 [-18,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[-97, -3]</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[-197, -119]</w:t>
            </w:r>
          </w:p>
        </w:tc>
        <w:tc>
          <w:tcPr>
            <w:tcW w:type="dxa" w:w="1296"/>
          </w:tcPr>
          <w:p>
            <w:pPr>
              <w:spacing w:line="240" w:lineRule="auto"/>
              <w:jc w:val="center"/>
            </w:pPr>
            <w:r>
              <w:rPr>
                <w:rFonts w:ascii="바탕" w:hAnsi="바탕" w:eastAsia="바탕"/>
                <w:b w:val="0"/>
                <w:i w:val="0"/>
                <w:sz w:val="18"/>
              </w:rPr>
              <w:t>-202 [-311, -138]</w:t>
            </w:r>
          </w:p>
        </w:tc>
        <w:tc>
          <w:tcPr>
            <w:tcW w:type="dxa" w:w="1296"/>
          </w:tcPr>
          <w:p>
            <w:pPr>
              <w:spacing w:line="240" w:lineRule="auto"/>
              <w:jc w:val="center"/>
            </w:pPr>
            <w:r>
              <w:rPr>
                <w:rFonts w:ascii="바탕" w:hAnsi="바탕" w:eastAsia="바탕"/>
                <w:b w:val="0"/>
                <w:i w:val="0"/>
                <w:sz w:val="18"/>
              </w:rPr>
              <w:t>-61 [-86, -30]</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[-233, -111]</w:t>
            </w:r>
          </w:p>
        </w:tc>
        <w:tc>
          <w:tcPr>
            <w:tcW w:type="dxa" w:w="1296"/>
          </w:tcPr>
          <w:p>
            <w:pPr>
              <w:spacing w:line="240" w:lineRule="auto"/>
              <w:jc w:val="center"/>
            </w:pPr>
            <w:r>
              <w:rPr>
                <w:rFonts w:ascii="바탕" w:hAnsi="바탕" w:eastAsia="바탕"/>
                <w:b w:val="0"/>
                <w:i w:val="0"/>
                <w:sz w:val="18"/>
              </w:rPr>
              <w:t>-139 [-288, -104]</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[-238, -127]</w:t>
            </w:r>
          </w:p>
        </w:tc>
        <w:tc>
          <w:tcPr>
            <w:tcW w:type="dxa" w:w="1296"/>
          </w:tcPr>
          <w:p>
            <w:pPr>
              <w:spacing w:line="240" w:lineRule="auto"/>
              <w:jc w:val="center"/>
            </w:pPr>
            <w:r>
              <w:rPr>
                <w:rFonts w:ascii="바탕" w:hAnsi="바탕" w:eastAsia="바탕"/>
                <w:b w:val="0"/>
                <w:i w:val="0"/>
                <w:sz w:val="18"/>
              </w:rPr>
              <w:t>-157 [-222,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[-378, -169]</w:t>
            </w:r>
          </w:p>
        </w:tc>
        <w:tc>
          <w:tcPr>
            <w:tcW w:type="dxa" w:w="1296"/>
          </w:tcPr>
          <w:p>
            <w:pPr>
              <w:spacing w:line="240" w:lineRule="auto"/>
              <w:jc w:val="center"/>
            </w:pPr>
            <w:r>
              <w:rPr>
                <w:rFonts w:ascii="바탕" w:hAnsi="바탕" w:eastAsia="바탕"/>
                <w:b w:val="0"/>
                <w:i w:val="0"/>
                <w:sz w:val="18"/>
              </w:rPr>
              <w:t>-161 [-240, -130]</w:t>
            </w:r>
          </w:p>
        </w:tc>
        <w:tc>
          <w:tcPr>
            <w:tcW w:type="dxa" w:w="1296"/>
          </w:tcPr>
          <w:p>
            <w:pPr>
              <w:spacing w:line="240" w:lineRule="auto"/>
              <w:jc w:val="center"/>
            </w:pPr>
            <w:r>
              <w:rPr>
                <w:rFonts w:ascii="바탕" w:hAnsi="바탕" w:eastAsia="바탕"/>
                <w:b w:val="0"/>
                <w:i w:val="0"/>
                <w:sz w:val="18"/>
              </w:rPr>
              <w:t>-192 [-294, -155]</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-128]</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[-335, -149]</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[-268, -137]</w:t>
            </w:r>
          </w:p>
        </w:tc>
        <w:tc>
          <w:tcPr>
            <w:tcW w:type="dxa" w:w="1296"/>
          </w:tcPr>
          <w:p>
            <w:pPr>
              <w:spacing w:line="240" w:lineRule="auto"/>
              <w:jc w:val="center"/>
            </w:pPr>
            <w:r>
              <w:rPr>
                <w:rFonts w:ascii="바탕" w:hAnsi="바탕" w:eastAsia="바탕"/>
                <w:b w:val="0"/>
                <w:i w:val="0"/>
                <w:sz w:val="18"/>
              </w:rPr>
              <w:t>-326 [-340, -312]</w:t>
            </w:r>
          </w:p>
        </w:tc>
        <w:tc>
          <w:tcPr>
            <w:tcW w:type="dxa" w:w="1296"/>
          </w:tcPr>
          <w:p>
            <w:pPr>
              <w:spacing w:line="240" w:lineRule="auto"/>
              <w:jc w:val="center"/>
            </w:pPr>
            <w:r>
              <w:rPr>
                <w:rFonts w:ascii="바탕" w:hAnsi="바탕" w:eastAsia="바탕"/>
                <w:b w:val="0"/>
                <w:i w:val="0"/>
                <w:sz w:val="18"/>
              </w:rPr>
              <w:t>-328 [-331, -326]</w:t>
            </w:r>
          </w:p>
        </w:tc>
        <w:tc>
          <w:tcPr>
            <w:tcW w:type="dxa" w:w="1296"/>
          </w:tcPr>
          <w:p>
            <w:pPr>
              <w:spacing w:line="240" w:lineRule="auto"/>
              <w:jc w:val="center"/>
            </w:pPr>
            <w:r>
              <w:rPr>
                <w:rFonts w:ascii="바탕" w:hAnsi="바탕" w:eastAsia="바탕"/>
                <w:b w:val="0"/>
                <w:i w:val="0"/>
                <w:sz w:val="18"/>
              </w:rPr>
              <w:t>-131 [-133, -128]</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i w:val="0"/>
          <w:sz w:val="20"/>
        </w:rPr>
        <w:t>이 문턱이 예산 때문에 생긴 것은 아니다.</w:t>
      </w:r>
      <w:r>
        <w:rPr>
          <w:rFonts w:ascii="바탕" w:hAnsi="바탕" w:eastAsia="바탕"/>
          <w:b w:val="0"/>
          <w:i w:val="0"/>
          <w:sz w:val="20"/>
        </w:rPr>
        <w:t xml:space="preserve"> 같은 환경·같은 계열(표준 DQN)을 예산 3.3배(30만 → 100만 스텝)로 다시 돌려 목표 도달률을 견주었다. 두 판의 λ 격자가 달라 '문턱이 어디로 옮겼다'고는 말할 수 없으므로, </w:t>
      </w:r>
      <w:r>
        <w:rPr>
          <w:rFonts w:ascii="바탕" w:hAnsi="바탕" w:eastAsia="바탕"/>
          <w:b/>
          <w:i w:val="0"/>
          <w:sz w:val="20"/>
        </w:rPr>
        <w:t>양쪽에 다 있는 λ에서만</w:t>
      </w:r>
      <w:r>
        <w:rPr>
          <w:rFonts w:ascii="바탕" w:hAnsi="바탕" w:eastAsia="바탕"/>
          <w:b w:val="0"/>
          <w:i w:val="0"/>
          <w:sz w:val="20"/>
        </w:rPr>
        <w:t xml:space="preserve"> 비교한다.</w:t>
      </w:r>
    </w:p>
    <w:p>
      <w:pPr>
        <w:spacing w:line="480" w:lineRule="auto" w:before="0" w:after="0"/>
        <w:ind w:left="340" w:hanging="198"/>
      </w:pPr>
      <w:r>
        <w:rPr>
          <w:rFonts w:ascii="바탕" w:hAnsi="바탕" w:eastAsia="바탕"/>
          <w:b w:val="0"/>
          <w:i w:val="0"/>
          <w:sz w:val="20"/>
        </w:rPr>
        <w:t>· λ=0 62%→68% · λ=0.001 37%→50% · λ=0.003 52%→62% · λ=0.01 3%→14% · λ=0.03 0%→0%</w:t>
      </w:r>
    </w:p>
    <w:p>
      <w:pPr>
        <w:widowControl/>
        <w:spacing w:line="480" w:lineRule="auto" w:before="0" w:after="0"/>
        <w:ind w:firstLine="400"/>
        <w:jc w:val="both"/>
      </w:pPr>
      <w:r>
        <w:rPr>
          <w:rFonts w:ascii="바탕" w:hAnsi="바탕" w:eastAsia="바탕"/>
          <w:b w:val="0"/>
          <w:i w:val="0"/>
          <w:sz w:val="20"/>
        </w:rPr>
        <w:t xml:space="preserve">예산을 3.3배로 줘도 4/5개 지점에서 몇 %p 오르는 데 그쳤고, λ=0.03에서는 </w:t>
      </w:r>
      <w:r>
        <w:rPr>
          <w:rFonts w:ascii="바탕" w:hAnsi="바탕" w:eastAsia="바탕"/>
          <w:b/>
          <w:i w:val="0"/>
          <w:sz w:val="20"/>
        </w:rPr>
        <w:t>양쪽 모두 도달률 0%</w:t>
      </w:r>
      <w:r>
        <w:rPr>
          <w:rFonts w:ascii="바탕" w:hAnsi="바탕" w:eastAsia="바탕"/>
          <w:b w:val="0"/>
          <w:i w:val="0"/>
          <w:sz w:val="20"/>
        </w:rPr>
        <w:t xml:space="preserve"> 다. </w:t>
      </w:r>
      <w:r>
        <w:rPr>
          <w:rFonts w:ascii="바탕" w:hAnsi="바탕" w:eastAsia="바탕"/>
          <w:b/>
          <w:i w:val="0"/>
          <w:sz w:val="20"/>
        </w:rPr>
        <w:t>붕괴는 예산을 늘려 없앨 수 있는 것이 아니다.</w:t>
      </w:r>
    </w:p>
    <w:p>
      <w:pPr>
        <w:widowControl/>
        <w:spacing w:line="480" w:lineRule="auto" w:before="0" w:after="0"/>
        <w:ind w:firstLine="400"/>
        <w:jc w:val="both"/>
      </w:pPr>
      <w:r>
        <w:rPr>
          <w:rFonts w:ascii="바탕" w:hAnsi="바탕" w:eastAsia="바탕"/>
          <w:b w:val="0"/>
          <w:i w:val="0"/>
          <w:sz w:val="20"/>
        </w:rPr>
        <w:t xml:space="preserve">(뒤의 공정성 점검 절도 예산을 다루지만 묻는 것이 다르다. 여기서는 </w:t>
      </w:r>
      <w:r>
        <w:rPr>
          <w:rFonts w:ascii="바탕" w:hAnsi="바탕" w:eastAsia="바탕"/>
          <w:b/>
          <w:i w:val="0"/>
          <w:sz w:val="20"/>
        </w:rPr>
        <w:t>붕괴 문턱이 예산에 따라 밀리는가</w:t>
      </w:r>
      <w:r>
        <w:rPr>
          <w:rFonts w:ascii="바탕" w:hAnsi="바탕" w:eastAsia="바탕"/>
          <w:b w:val="0"/>
          <w:i w:val="0"/>
          <w:sz w:val="20"/>
        </w:rPr>
        <w:t xml:space="preserve">를, 그쪽에서는 </w:t>
      </w:r>
      <w:r>
        <w:rPr>
          <w:rFonts w:ascii="바탕" w:hAnsi="바탕" w:eastAsia="바탕"/>
          <w:b/>
          <w:i w:val="0"/>
          <w:sz w:val="20"/>
        </w:rPr>
        <w:t>비용이 없는 λ=0에서 학습이 규칙 수준에 닿는가</w:t>
      </w:r>
      <w:r>
        <w:rPr>
          <w:rFonts w:ascii="바탕" w:hAnsi="바탕" w:eastAsia="바탕"/>
          <w:b w:val="0"/>
          <w:i w:val="0"/>
          <w:sz w:val="20"/>
        </w:rPr>
        <w:t>를 묻는다.)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1800000"/>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1800000"/>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세 번째 환경으로 확인한다</w:t>
      </w:r>
    </w:p>
    <w:p>
      <w:pPr>
        <w:widowControl/>
        <w:spacing w:line="480" w:lineRule="auto" w:before="0" w:after="0"/>
        <w:ind w:firstLine="400"/>
        <w:jc w:val="both"/>
      </w:pPr>
      <w:r>
        <w:rPr>
          <w:rFonts w:ascii="바탕" w:hAnsi="바탕" w:eastAsia="바탕"/>
          <w:b w:val="0"/>
          <w:i w:val="0"/>
          <w:sz w:val="20"/>
        </w:rPr>
        <w:t xml:space="preserve">MinAtar/Freeway를 세 번째 환경으로 고른 이유는 </w:t>
      </w:r>
      <w:r>
        <w:rPr>
          <w:rFonts w:ascii="바탕" w:hAnsi="바탕" w:eastAsia="바탕"/>
          <w:b/>
          <w:i w:val="0"/>
          <w:sz w:val="20"/>
        </w:rPr>
        <w:t>규칙 품질</w:t>
      </w:r>
      <w:r>
        <w:rPr>
          <w:rFonts w:ascii="바탕" w:hAnsi="바탕" w:eastAsia="바탕"/>
          <w:b w:val="0"/>
          <w:i w:val="0"/>
          <w:sz w:val="20"/>
        </w:rPr>
        <w:t xml:space="preserve"> 축에서 가운데였기 때문이다 — 손으로 짠 규칙이 쓸 만하지만 최적과는 거리가 있다. 그런데 Ⅲ장 2절에서 </w:t>
      </w:r>
      <w:r>
        <w:rPr>
          <w:rFonts w:ascii="바탕" w:hAnsi="바탕" w:eastAsia="바탕"/>
          <w:b/>
          <w:i w:val="0"/>
          <w:sz w:val="20"/>
        </w:rPr>
        <w:t>보상 조밀도</w:t>
      </w:r>
      <w:r>
        <w:rPr>
          <w:rFonts w:ascii="바탕" w:hAnsi="바탕" w:eastAsia="바탕"/>
          <w:b w:val="0"/>
          <w:i w:val="0"/>
          <w:sz w:val="20"/>
        </w:rPr>
        <w:t xml:space="preserve">를 재고 보니 그 축에서는 가운데가 아니라 MountainCar 쪽 끝에 가까웠다(보상 값 2가지 · 신호 있는 스텝 1.6%, MountainCar는 1가지 · 0.0%, LunarLander는 16,717가지 · 99.8%). </w:t>
      </w:r>
      <w:r>
        <w:rPr>
          <w:rFonts w:ascii="바탕" w:hAnsi="바탕" w:eastAsia="바탕"/>
          <w:b/>
          <w:i w:val="0"/>
          <w:sz w:val="20"/>
        </w:rPr>
        <w:t>두 축이 갈린다는 것이 오히려 좋은 시험이 된다.</w:t>
      </w:r>
      <w:r>
        <w:rPr>
          <w:rFonts w:ascii="바탕" w:hAnsi="바탕" w:eastAsia="바탕"/>
          <w:b w:val="0"/>
          <w:i w:val="0"/>
          <w:sz w:val="20"/>
        </w:rPr>
        <w:t xml:space="preserve"> λ*가 규칙 품질을 따라간다면 여기서 두 환경 사이 값이 나와야 하고, 보상 조밀도를 따라간다면 MountainCar처럼 0에 가까운 값이 나와야 한다. </w:t>
      </w:r>
      <w:r>
        <w:rPr>
          <w:rFonts w:ascii="바탕" w:hAnsi="바탕" w:eastAsia="바탕"/>
          <w:b/>
          <w:i w:val="0"/>
          <w:sz w:val="20"/>
        </w:rPr>
        <w:t>어느 쪽이든 그대로 적는다.</w:t>
      </w:r>
    </w:p>
    <w:p>
      <w:pPr>
        <w:keepNext/>
        <w:widowControl/>
        <w:spacing w:line="312" w:lineRule="auto" w:before="160" w:after="60"/>
        <w:jc w:val="left"/>
      </w:pPr>
      <w:r>
        <w:rPr>
          <w:rFonts w:ascii="맑은 고딕" w:hAnsi="맑은 고딕" w:eastAsia="맑은 고딕"/>
          <w:b/>
          <w:i w:val="0"/>
          <w:sz w:val="20"/>
        </w:rPr>
        <w:t>6.1 MinAtar_Freeway-v1</w:t>
      </w:r>
    </w:p>
    <w:p>
      <w:pPr>
        <w:widowControl/>
        <w:spacing w:line="480" w:lineRule="auto" w:before="0" w:after="0"/>
        <w:ind w:firstLine="400"/>
        <w:jc w:val="both"/>
      </w:pPr>
      <w:r>
        <w:rPr>
          <w:rFonts w:ascii="바탕" w:hAnsi="바탕" w:eastAsia="바탕"/>
          <w:b/>
          <w:i w:val="0"/>
          <w:sz w:val="20"/>
        </w:rPr>
        <w:t>규칙 품질</w:t>
      </w:r>
      <w:r>
        <w:rPr>
          <w:rFonts w:ascii="바탕" w:hAnsi="바탕" w:eastAsia="바탕"/>
          <w:b w:val="0"/>
          <w:i w:val="0"/>
          <w:sz w:val="20"/>
        </w:rPr>
        <w:t xml:space="preserve"> 축에서 앞의 두 환경 사이에 있는 세 번째 경우다. 손으로 짠 신중 규칙이 쓸 만하지만(무행동 0.0점, 매 스텝 주기 9.9점 대비 16.9점) 최적과는 거리가 있어 학습이 이길 여지가 남아 있다. 에피소드가 1000스텝으로 고정돼 행동 비용의 압력이 두 환경보다 뚜렷하다. 조건당 환경 300,000스텝, 학습 계열은 λ 6개(격자 6개 중) · 시드 10개까지 완료된 집계다.</w:t>
      </w:r>
    </w:p>
    <w:p>
      <w:pPr>
        <w:keepNext/>
        <w:widowControl/>
        <w:spacing w:line="276" w:lineRule="auto" w:before="200" w:after="40"/>
        <w:jc w:val="center"/>
      </w:pPr>
      <w:r>
        <w:rPr>
          <w:rFonts w:ascii="맑은 고딕" w:hAnsi="맑은 고딕" w:eastAsia="맑은 고딕"/>
          <w:b/>
          <w:i w:val="0"/>
          <w:sz w:val="19"/>
        </w:rPr>
        <w:t>표 9. MinAtar_Freeway-v1의 비용 반영 총보상 r′ — IQM [95% 신뢰구간]</w:t>
      </w:r>
    </w:p>
    <w:p>
      <w:pPr>
        <w:keepNext/>
        <w:widowControl/>
        <w:spacing w:line="276" w:lineRule="auto" w:before="0" w:after="60"/>
        <w:jc w:val="center"/>
      </w:pPr>
      <w:r>
        <w:rPr>
          <w:rFonts w:ascii="맑은 고딕" w:hAnsi="맑은 고딕" w:eastAsia="맑은 고딕"/>
          <w:b w:val="0"/>
          <w:i/>
          <w:sz w:val="18"/>
        </w:rPr>
        <w:t>Table 9. Cost-adjusted return r′ on MinAtar_Freeway-v1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7.1 [5.7, 8.3]</w:t>
            </w:r>
          </w:p>
        </w:tc>
        <w:tc>
          <w:tcPr>
            <w:tcW w:type="dxa" w:w="1296"/>
          </w:tcPr>
          <w:p>
            <w:pPr>
              <w:keepNext/>
              <w:spacing w:line="240" w:lineRule="auto"/>
              <w:jc w:val="center"/>
            </w:pPr>
            <w:r>
              <w:rPr>
                <w:rFonts w:ascii="바탕" w:hAnsi="바탕" w:eastAsia="바탕"/>
                <w:b w:val="0"/>
                <w:i w:val="0"/>
                <w:sz w:val="18"/>
              </w:rPr>
              <w:t>8.8 [7.4, 9.8]</w:t>
            </w:r>
          </w:p>
        </w:tc>
        <w:tc>
          <w:tcPr>
            <w:tcW w:type="dxa" w:w="1296"/>
          </w:tcPr>
          <w:p>
            <w:pPr>
              <w:keepNext/>
              <w:spacing w:line="240" w:lineRule="auto"/>
              <w:jc w:val="center"/>
            </w:pPr>
            <w:r>
              <w:rPr>
                <w:rFonts w:ascii="바탕" w:hAnsi="바탕" w:eastAsia="바탕"/>
                <w:b w:val="0"/>
                <w:i w:val="0"/>
                <w:sz w:val="18"/>
              </w:rPr>
              <w:t>13.6 [11.9, 14.9]</w:t>
            </w:r>
          </w:p>
        </w:tc>
        <w:tc>
          <w:tcPr>
            <w:tcW w:type="dxa" w:w="1296"/>
          </w:tcPr>
          <w:p>
            <w:pPr>
              <w:keepNext/>
              <w:spacing w:line="240" w:lineRule="auto"/>
              <w:jc w:val="center"/>
            </w:pPr>
            <w:r>
              <w:rPr>
                <w:rFonts w:ascii="바탕" w:hAnsi="바탕" w:eastAsia="바탕"/>
                <w:b w:val="0"/>
                <w:i w:val="0"/>
                <w:sz w:val="18"/>
              </w:rPr>
              <w:t>16.9 [16.4, 17.6]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16.9 [16.4, 17.6]</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2.4 [1.2, 3.6]</w:t>
            </w:r>
          </w:p>
        </w:tc>
        <w:tc>
          <w:tcPr>
            <w:tcW w:type="dxa" w:w="1296"/>
          </w:tcPr>
          <w:p>
            <w:pPr>
              <w:keepNext/>
              <w:spacing w:line="240" w:lineRule="auto"/>
              <w:jc w:val="center"/>
            </w:pPr>
            <w:r>
              <w:rPr>
                <w:rFonts w:ascii="바탕" w:hAnsi="바탕" w:eastAsia="바탕"/>
                <w:b w:val="0"/>
                <w:i w:val="0"/>
                <w:sz w:val="18"/>
              </w:rPr>
              <w:t>2.1 [0.3, 4.0]</w:t>
            </w:r>
          </w:p>
        </w:tc>
        <w:tc>
          <w:tcPr>
            <w:tcW w:type="dxa" w:w="1296"/>
          </w:tcPr>
          <w:p>
            <w:pPr>
              <w:keepNext/>
              <w:spacing w:line="240" w:lineRule="auto"/>
              <w:jc w:val="center"/>
            </w:pPr>
            <w:r>
              <w:rPr>
                <w:rFonts w:ascii="바탕" w:hAnsi="바탕" w:eastAsia="바탕"/>
                <w:b w:val="0"/>
                <w:i w:val="0"/>
                <w:sz w:val="18"/>
              </w:rPr>
              <w:t>12.5 [11.2, 14.1]</w:t>
            </w:r>
          </w:p>
        </w:tc>
        <w:tc>
          <w:tcPr>
            <w:tcW w:type="dxa" w:w="1296"/>
          </w:tcPr>
          <w:p>
            <w:pPr>
              <w:keepNext/>
              <w:spacing w:line="240" w:lineRule="auto"/>
              <w:jc w:val="center"/>
            </w:pPr>
            <w:r>
              <w:rPr>
                <w:rFonts w:ascii="바탕" w:hAnsi="바탕" w:eastAsia="바탕"/>
                <w:b w:val="0"/>
                <w:i w:val="0"/>
                <w:sz w:val="18"/>
              </w:rPr>
              <w:t>15.4 [14.9, 16.1]</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15.4 [14.9, 16.1]</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0.0 [-0.8, 0.2]</w:t>
            </w:r>
          </w:p>
        </w:tc>
        <w:tc>
          <w:tcPr>
            <w:tcW w:type="dxa" w:w="1296"/>
          </w:tcPr>
          <w:p>
            <w:pPr>
              <w:keepNext/>
              <w:spacing w:line="240" w:lineRule="auto"/>
              <w:jc w:val="center"/>
            </w:pPr>
            <w:r>
              <w:rPr>
                <w:rFonts w:ascii="바탕" w:hAnsi="바탕" w:eastAsia="바탕"/>
                <w:b w:val="0"/>
                <w:i w:val="0"/>
                <w:sz w:val="18"/>
              </w:rPr>
              <w:t>0.0 [-0.3, 0.2]</w:t>
            </w:r>
          </w:p>
        </w:tc>
        <w:tc>
          <w:tcPr>
            <w:tcW w:type="dxa" w:w="1296"/>
          </w:tcPr>
          <w:p>
            <w:pPr>
              <w:keepNext/>
              <w:spacing w:line="240" w:lineRule="auto"/>
              <w:jc w:val="center"/>
            </w:pPr>
            <w:r>
              <w:rPr>
                <w:rFonts w:ascii="바탕" w:hAnsi="바탕" w:eastAsia="바탕"/>
                <w:b w:val="0"/>
                <w:i w:val="0"/>
                <w:sz w:val="18"/>
              </w:rPr>
              <w:t>10.7 [9.4, 12.0]</w:t>
            </w:r>
          </w:p>
        </w:tc>
        <w:tc>
          <w:tcPr>
            <w:tcW w:type="dxa" w:w="1296"/>
          </w:tcPr>
          <w:p>
            <w:pPr>
              <w:keepNext/>
              <w:spacing w:line="240" w:lineRule="auto"/>
              <w:jc w:val="center"/>
            </w:pPr>
            <w:r>
              <w:rPr>
                <w:rFonts w:ascii="바탕" w:hAnsi="바탕" w:eastAsia="바탕"/>
                <w:b w:val="0"/>
                <w:i w:val="0"/>
                <w:sz w:val="18"/>
              </w:rPr>
              <w:t>13.9 [13.5, 14.6]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13.9 [13.5, 14.6]</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-0.0 [-0.2, 0.0]</w:t>
            </w:r>
          </w:p>
        </w:tc>
        <w:tc>
          <w:tcPr>
            <w:tcW w:type="dxa" w:w="1296"/>
          </w:tcPr>
          <w:p>
            <w:pPr>
              <w:keepNext/>
              <w:spacing w:line="240" w:lineRule="auto"/>
              <w:jc w:val="center"/>
            </w:pPr>
            <w:r>
              <w:rPr>
                <w:rFonts w:ascii="바탕" w:hAnsi="바탕" w:eastAsia="바탕"/>
                <w:b w:val="0"/>
                <w:i w:val="0"/>
                <w:sz w:val="18"/>
              </w:rPr>
              <w:t>8.4 [6.8, 10.2]</w:t>
            </w:r>
          </w:p>
        </w:tc>
        <w:tc>
          <w:tcPr>
            <w:tcW w:type="dxa" w:w="1296"/>
          </w:tcPr>
          <w:p>
            <w:pPr>
              <w:keepNext/>
              <w:spacing w:line="240" w:lineRule="auto"/>
              <w:jc w:val="center"/>
            </w:pPr>
            <w:r>
              <w:rPr>
                <w:rFonts w:ascii="바탕" w:hAnsi="바탕" w:eastAsia="바탕"/>
                <w:b w:val="0"/>
                <w:i w:val="0"/>
                <w:sz w:val="18"/>
              </w:rPr>
              <w:t>11.0 [10.5, 11.6]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11.0 [10.5, 11.6]</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2.2 [1.3, 2.7]</w:t>
            </w:r>
          </w:p>
        </w:tc>
        <w:tc>
          <w:tcPr>
            <w:tcW w:type="dxa" w:w="1296"/>
          </w:tcPr>
          <w:p>
            <w:pPr>
              <w:keepNext/>
              <w:spacing w:line="240" w:lineRule="auto"/>
              <w:jc w:val="center"/>
            </w:pPr>
            <w:r>
              <w:rPr>
                <w:rFonts w:ascii="바탕" w:hAnsi="바탕" w:eastAsia="바탕"/>
                <w:b w:val="0"/>
                <w:i w:val="0"/>
                <w:sz w:val="18"/>
              </w:rPr>
              <w:t>5.0 [4.5, 5.6]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6.6 [6.2, 7.0]</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-0.5 [-1.2, -0.1]</w:t>
            </w:r>
          </w:p>
        </w:tc>
        <w:tc>
          <w:tcPr>
            <w:tcW w:type="dxa" w:w="1296"/>
          </w:tcPr>
          <w:p>
            <w:pPr>
              <w:spacing w:line="240" w:lineRule="auto"/>
              <w:jc w:val="center"/>
            </w:pPr>
            <w:r>
              <w:rPr>
                <w:rFonts w:ascii="바탕" w:hAnsi="바탕" w:eastAsia="바탕"/>
                <w:b w:val="0"/>
                <w:i w:val="0"/>
                <w:sz w:val="18"/>
              </w:rPr>
              <w:t>-1.0 [-1.5, -0.4]</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2.5 [2.1, 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0219"/>
            <wp:docPr id="7" name="Picture 7"/>
            <wp:cNvGraphicFramePr>
              <a:graphicFrameLocks noChangeAspect="1"/>
            </wp:cNvGraphicFramePr>
            <a:graphic>
              <a:graphicData uri="http://schemas.openxmlformats.org/drawingml/2006/picture">
                <pic:pic>
                  <pic:nvPicPr>
                    <pic:cNvPr id="0" name="fig_minatar_lambda_map_MinAtar_Freeway-v1.png"/>
                    <pic:cNvPicPr/>
                  </pic:nvPicPr>
                  <pic:blipFill>
                    <a:blip r:embed="rId16"/>
                    <a:stretch>
                      <a:fillRect/>
                    </a:stretch>
                  </pic:blipFill>
                  <pic:spPr>
                    <a:xfrm>
                      <a:off x="0" y="0"/>
                      <a:ext cx="5760000" cy="344021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λ-성능 지도 — MinAtar Freeway (규칙 품질은 가운데, 보상은 희소한 환경)</w:t>
      </w:r>
    </w:p>
    <w:p>
      <w:pPr>
        <w:widowControl/>
        <w:spacing w:line="276" w:lineRule="auto" w:before="0" w:after="80"/>
        <w:jc w:val="center"/>
      </w:pPr>
      <w:r>
        <w:rPr>
          <w:rFonts w:ascii="맑은 고딕" w:hAnsi="맑은 고딕" w:eastAsia="맑은 고딕"/>
          <w:b w:val="0"/>
          <w:i/>
          <w:sz w:val="18"/>
        </w:rPr>
        <w:t>Fig. 7. Performance map over action cost λ on MinAtar_Freeway-v1</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TempoRL은 비용이 아예 없는 λ=0에서 신중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826.7회(λ=0) → 0.0회(λ=0.06), 100% 감소</w:t>
      </w:r>
    </w:p>
    <w:p>
      <w:pPr>
        <w:spacing w:line="480" w:lineRule="auto" w:before="0" w:after="0"/>
        <w:ind w:left="340" w:hanging="198"/>
      </w:pPr>
      <w:r>
        <w:rPr>
          <w:rFonts w:ascii="바탕" w:hAnsi="바탕" w:eastAsia="바탕"/>
          <w:b w:val="0"/>
          <w:i w:val="0"/>
          <w:sz w:val="20"/>
        </w:rPr>
        <w:t>· TempoRL 898.1회(λ=0) → 0.0회(λ=0.06), 100% 감소</w:t>
      </w:r>
    </w:p>
    <w:p>
      <w:pPr>
        <w:spacing w:line="480" w:lineRule="auto" w:before="0" w:after="0"/>
        <w:ind w:left="340" w:hanging="198"/>
      </w:pPr>
      <w:r>
        <w:rPr>
          <w:rFonts w:ascii="바탕" w:hAnsi="바탕" w:eastAsia="바탕"/>
          <w:b w:val="0"/>
          <w:i w:val="0"/>
          <w:sz w:val="20"/>
        </w:rPr>
        <w:t>· Lazy-MDP 446.9회(λ=0) → 103.7회(λ=0.06), 77% 감소</w:t>
      </w:r>
    </w:p>
    <w:p>
      <w:pPr>
        <w:keepNext/>
        <w:widowControl/>
        <w:spacing w:line="276" w:lineRule="auto" w:before="200" w:after="40"/>
        <w:jc w:val="center"/>
      </w:pPr>
      <w:r>
        <w:rPr>
          <w:rFonts w:ascii="맑은 고딕" w:hAnsi="맑은 고딕" w:eastAsia="맑은 고딕"/>
          <w:b/>
          <w:i w:val="0"/>
          <w:sz w:val="19"/>
        </w:rPr>
        <w:t>표 10. MinAtar_Freeway-v1의 에피소드당 행동 횟수 (IQM)</w:t>
      </w:r>
    </w:p>
    <w:p>
      <w:pPr>
        <w:keepNext/>
        <w:widowControl/>
        <w:spacing w:line="276" w:lineRule="auto" w:before="0" w:after="60"/>
        <w:jc w:val="center"/>
      </w:pPr>
      <w:r>
        <w:rPr>
          <w:rFonts w:ascii="맑은 고딕" w:hAnsi="맑은 고딕" w:eastAsia="맑은 고딕"/>
          <w:b w:val="0"/>
          <w:i/>
          <w:sz w:val="18"/>
        </w:rPr>
        <w:t>Table 10. Actions per episode on MinAtar_Freeway-v1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827</w:t>
            </w:r>
          </w:p>
        </w:tc>
        <w:tc>
          <w:tcPr>
            <w:tcW w:type="dxa" w:w="1296"/>
          </w:tcPr>
          <w:p>
            <w:pPr>
              <w:keepNext/>
              <w:spacing w:line="240" w:lineRule="auto"/>
              <w:jc w:val="center"/>
            </w:pPr>
            <w:r>
              <w:rPr>
                <w:rFonts w:ascii="바탕" w:hAnsi="바탕" w:eastAsia="바탕"/>
                <w:b w:val="0"/>
                <w:i w:val="0"/>
                <w:sz w:val="18"/>
              </w:rPr>
              <w:t>898</w:t>
            </w:r>
          </w:p>
        </w:tc>
        <w:tc>
          <w:tcPr>
            <w:tcW w:type="dxa" w:w="1296"/>
          </w:tcPr>
          <w:p>
            <w:pPr>
              <w:keepNext/>
              <w:spacing w:line="240" w:lineRule="auto"/>
              <w:jc w:val="center"/>
            </w:pPr>
            <w:r>
              <w:rPr>
                <w:rFonts w:ascii="바탕" w:hAnsi="바탕" w:eastAsia="바탕"/>
                <w:b w:val="0"/>
                <w:i w:val="0"/>
                <w:sz w:val="18"/>
              </w:rPr>
              <w:t>447</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639</w:t>
            </w:r>
          </w:p>
        </w:tc>
        <w:tc>
          <w:tcPr>
            <w:tcW w:type="dxa" w:w="1296"/>
          </w:tcPr>
          <w:p>
            <w:pPr>
              <w:keepNext/>
              <w:spacing w:line="240" w:lineRule="auto"/>
              <w:jc w:val="center"/>
            </w:pPr>
            <w:r>
              <w:rPr>
                <w:rFonts w:ascii="바탕" w:hAnsi="바탕" w:eastAsia="바탕"/>
                <w:b w:val="0"/>
                <w:i w:val="0"/>
                <w:sz w:val="18"/>
              </w:rPr>
              <w:t>429</w:t>
            </w:r>
          </w:p>
        </w:tc>
        <w:tc>
          <w:tcPr>
            <w:tcW w:type="dxa" w:w="1296"/>
          </w:tcPr>
          <w:p>
            <w:pPr>
              <w:keepNext/>
              <w:spacing w:line="240" w:lineRule="auto"/>
              <w:jc w:val="center"/>
            </w:pPr>
            <w:r>
              <w:rPr>
                <w:rFonts w:ascii="바탕" w:hAnsi="바탕" w:eastAsia="바탕"/>
                <w:b w:val="0"/>
                <w:i w:val="0"/>
                <w:sz w:val="18"/>
              </w:rPr>
              <w:t>386</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63</w:t>
            </w:r>
          </w:p>
        </w:tc>
        <w:tc>
          <w:tcPr>
            <w:tcW w:type="dxa" w:w="1296"/>
          </w:tcPr>
          <w:p>
            <w:pPr>
              <w:keepNext/>
              <w:spacing w:line="240" w:lineRule="auto"/>
              <w:jc w:val="center"/>
            </w:pPr>
            <w:r>
              <w:rPr>
                <w:rFonts w:ascii="바탕" w:hAnsi="바탕" w:eastAsia="바탕"/>
                <w:b w:val="0"/>
                <w:i w:val="0"/>
                <w:sz w:val="18"/>
              </w:rPr>
              <w:t>247</w:t>
            </w:r>
          </w:p>
        </w:tc>
        <w:tc>
          <w:tcPr>
            <w:tcW w:type="dxa" w:w="1296"/>
          </w:tcPr>
          <w:p>
            <w:pPr>
              <w:keepNext/>
              <w:spacing w:line="240" w:lineRule="auto"/>
              <w:jc w:val="center"/>
            </w:pPr>
            <w:r>
              <w:rPr>
                <w:rFonts w:ascii="바탕" w:hAnsi="바탕" w:eastAsia="바탕"/>
                <w:b w:val="0"/>
                <w:i w:val="0"/>
                <w:sz w:val="18"/>
              </w:rPr>
              <w:t>345</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w:t>
            </w:r>
          </w:p>
        </w:tc>
        <w:tc>
          <w:tcPr>
            <w:tcW w:type="dxa" w:w="1296"/>
          </w:tcPr>
          <w:p>
            <w:pPr>
              <w:keepNext/>
              <w:spacing w:line="240" w:lineRule="auto"/>
              <w:jc w:val="center"/>
            </w:pPr>
            <w:r>
              <w:rPr>
                <w:rFonts w:ascii="바탕" w:hAnsi="바탕" w:eastAsia="바탕"/>
                <w:b w:val="0"/>
                <w:i w:val="0"/>
                <w:sz w:val="18"/>
              </w:rPr>
              <w:t>308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268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204</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104</w:t>
            </w:r>
          </w:p>
        </w:tc>
        <w:tc>
          <w:tcPr>
            <w:tcW w:type="dxa" w:w="1296"/>
          </w:tcPr>
          <w:p>
            <w:pPr>
              <w:spacing w:line="240" w:lineRule="auto"/>
              <w:jc w:val="center"/>
            </w:pPr>
            <w:r>
              <w:rPr>
                <w:rFonts w:ascii="바탕" w:hAnsi="바탕" w:eastAsia="바탕"/>
                <w:b w:val="0"/>
                <w:i w:val="0"/>
                <w:sz w:val="18"/>
              </w:rPr>
              <w:t>299</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204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i w:val="0"/>
          <w:sz w:val="20"/>
        </w:rPr>
        <w:t>이 절을 둔 이유는 두 축을 가르기 위해서였다. 답은 이렇다.</w:t>
      </w:r>
    </w:p>
    <w:p>
      <w:pPr>
        <w:widowControl/>
        <w:spacing w:line="480" w:lineRule="auto" w:before="0" w:after="0"/>
        <w:ind w:firstLine="400"/>
        <w:jc w:val="both"/>
      </w:pPr>
      <w:r>
        <w:rPr>
          <w:rFonts w:ascii="바탕" w:hAnsi="바탕" w:eastAsia="바탕"/>
          <w:b w:val="0"/>
          <w:i w:val="0"/>
          <w:sz w:val="20"/>
        </w:rPr>
        <w:t xml:space="preserve">MinAtar에서 λ*는 세 계열 모두 </w:t>
      </w:r>
      <w:r>
        <w:rPr>
          <w:rFonts w:ascii="바탕" w:hAnsi="바탕" w:eastAsia="바탕"/>
          <w:b/>
          <w:i w:val="0"/>
          <w:sz w:val="20"/>
        </w:rPr>
        <w:t>0</w:t>
      </w:r>
      <w:r>
        <w:rPr>
          <w:rFonts w:ascii="바탕" w:hAnsi="바탕" w:eastAsia="바탕"/>
          <w:b w:val="0"/>
          <w:i w:val="0"/>
          <w:sz w:val="20"/>
        </w:rPr>
        <w:t xml:space="preserve">이다 — 두 환경 사이가 아니라 MountainCar와 </w:t>
      </w:r>
      <w:r>
        <w:rPr>
          <w:rFonts w:ascii="바탕" w:hAnsi="바탕" w:eastAsia="바탕"/>
          <w:b/>
          <w:i w:val="0"/>
          <w:sz w:val="20"/>
        </w:rPr>
        <w:t>같은 값</w:t>
      </w:r>
      <w:r>
        <w:rPr>
          <w:rFonts w:ascii="바탕" w:hAnsi="바탕" w:eastAsia="바탕"/>
          <w:b w:val="0"/>
          <w:i w:val="0"/>
          <w:sz w:val="20"/>
        </w:rPr>
        <w:t>이다. 이 환경은 규칙 품질 축에서 가운데였으므로, λ*가 규칙 품질을 따라간다면 사이 값이 나왔어야 한다. 그러지 않았다.</w:t>
      </w:r>
    </w:p>
    <w:p>
      <w:pPr>
        <w:widowControl/>
        <w:spacing w:line="480" w:lineRule="auto" w:before="0" w:after="0"/>
        <w:ind w:firstLine="400"/>
        <w:jc w:val="both"/>
      </w:pPr>
      <w:r>
        <w:rPr>
          <w:rFonts w:ascii="바탕" w:hAnsi="바탕" w:eastAsia="바탕"/>
          <w:b w:val="0"/>
          <w:i w:val="0"/>
          <w:sz w:val="20"/>
        </w:rPr>
        <w:t xml:space="preserve">대신 λ*는 </w:t>
      </w:r>
      <w:r>
        <w:rPr>
          <w:rFonts w:ascii="바탕" w:hAnsi="바탕" w:eastAsia="바탕"/>
          <w:b/>
          <w:i w:val="0"/>
          <w:sz w:val="20"/>
        </w:rPr>
        <w:t>보상 조밀도</w:t>
      </w:r>
      <w:r>
        <w:rPr>
          <w:rFonts w:ascii="바탕" w:hAnsi="바탕" w:eastAsia="바탕"/>
          <w:b w:val="0"/>
          <w:i w:val="0"/>
          <w:sz w:val="20"/>
        </w:rPr>
        <w:t xml:space="preserve">를 따라간다. 신호가 있는 스텝의 비율은 MountainCar 0.0% · MinAtar 1.6% · LunarLander 99.8% 로(Ⅲ장 2절), MinAtar는 이 축에서 가운데가 아니라 MountainCar 쪽 끝에 있다. </w:t>
      </w:r>
      <w:r>
        <w:rPr>
          <w:rFonts w:ascii="바탕" w:hAnsi="바탕" w:eastAsia="바탕"/>
          <w:b/>
          <w:i w:val="0"/>
          <w:sz w:val="20"/>
        </w:rPr>
        <w:t>λ*도 그 자리를 따라갔다.</w:t>
      </w:r>
    </w:p>
    <w:p>
      <w:pPr>
        <w:widowControl/>
        <w:spacing w:line="480" w:lineRule="auto" w:before="0" w:after="0"/>
        <w:ind w:firstLine="400"/>
        <w:jc w:val="both"/>
      </w:pPr>
      <w:r>
        <w:rPr>
          <w:rFonts w:ascii="바탕" w:hAnsi="바탕" w:eastAsia="바탕"/>
          <w:b w:val="0"/>
          <w:i w:val="0"/>
          <w:sz w:val="20"/>
        </w:rPr>
        <w:t xml:space="preserve">즉 </w:t>
      </w:r>
      <w:r>
        <w:rPr>
          <w:rFonts w:ascii="바탕" w:hAnsi="바탕" w:eastAsia="바탕"/>
          <w:b/>
          <w:i w:val="0"/>
          <w:sz w:val="20"/>
        </w:rPr>
        <w:t>'좋은 규칙이 이미 있으면 학습이 불리하다'가 아니라 '보상이 상태를 구분해 주지 못하면 학습이 불리하다'</w:t>
      </w:r>
      <w:r>
        <w:rPr>
          <w:rFonts w:ascii="바탕" w:hAnsi="바탕" w:eastAsia="바탕"/>
          <w:b w:val="0"/>
          <w:i w:val="0"/>
          <w:sz w:val="20"/>
        </w:rPr>
        <w:t>가 이 연구가 관찰한 것이다. 다만 환경이 셋뿐이므로 이것은 세 점이 한 방향을 가리킨다는 뜻이지 상관을 보인 것은 아니다.</w:t>
      </w:r>
    </w:p>
    <w:p>
      <w:pPr>
        <w:keepNext/>
        <w:widowControl/>
        <w:spacing w:line="312" w:lineRule="auto" w:before="200" w:after="80"/>
        <w:jc w:val="left"/>
      </w:pPr>
      <w:r>
        <w:rPr>
          <w:rFonts w:ascii="맑은 고딕" w:hAnsi="맑은 고딕" w:eastAsia="맑은 고딕"/>
          <w:b/>
          <w:i w:val="0"/>
          <w:sz w:val="22"/>
        </w:rPr>
        <w:t>7.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11.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11.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[-180.7,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-167.2</w:t>
            </w:r>
          </w:p>
        </w:tc>
        <w:tc>
          <w:tcPr>
            <w:tcW w:type="dxa" w:w="1361"/>
          </w:tcPr>
          <w:p>
            <w:pPr>
              <w:spacing w:line="240" w:lineRule="auto"/>
              <w:jc w:val="center"/>
            </w:pPr>
            <w:r>
              <w:rPr>
                <w:rFonts w:ascii="바탕" w:hAnsi="바탕" w:eastAsia="바탕"/>
                <w:b w:val="0"/>
                <w:i w:val="0"/>
                <w:sz w:val="18"/>
              </w:rPr>
              <w:t>[-191.8, -147.5]</w:t>
            </w:r>
          </w:p>
        </w:tc>
        <w:tc>
          <w:tcPr>
            <w:tcW w:type="dxa" w:w="794"/>
          </w:tcPr>
          <w:p>
            <w:pPr>
              <w:spacing w:line="240" w:lineRule="auto"/>
              <w:jc w:val="center"/>
            </w:pPr>
            <w:r>
              <w:rPr>
                <w:rFonts w:ascii="바탕" w:hAnsi="바탕" w:eastAsia="바탕"/>
                <w:b w:val="0"/>
                <w:i w:val="0"/>
                <w:sz w:val="18"/>
              </w:rPr>
              <w:t>68%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-138.8]</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-129.0]</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216.5]</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148.0</w:t>
            </w:r>
          </w:p>
        </w:tc>
        <w:tc>
          <w:tcPr>
            <w:tcW w:type="dxa" w:w="1361"/>
          </w:tcPr>
          <w:p>
            <w:pPr>
              <w:spacing w:line="240" w:lineRule="auto"/>
              <w:jc w:val="center"/>
            </w:pPr>
            <w:r>
              <w:rPr>
                <w:rFonts w:ascii="바탕" w:hAnsi="바탕" w:eastAsia="바탕"/>
                <w:b w:val="0"/>
                <w:i w:val="0"/>
                <w:sz w:val="18"/>
              </w:rPr>
              <w:t>[82.0, 187.1]</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[156.8, 167.5]</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7.1</w:t>
            </w:r>
          </w:p>
        </w:tc>
        <w:tc>
          <w:tcPr>
            <w:tcW w:type="dxa" w:w="1361"/>
          </w:tcPr>
          <w:p>
            <w:pPr>
              <w:spacing w:line="240" w:lineRule="auto"/>
              <w:jc w:val="center"/>
            </w:pPr>
            <w:r>
              <w:rPr>
                <w:rFonts w:ascii="바탕" w:hAnsi="바탕" w:eastAsia="바탕"/>
                <w:b w:val="0"/>
                <w:i w:val="0"/>
                <w:sz w:val="18"/>
              </w:rPr>
              <w:t>[5.7, 8.3]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8.8</w:t>
            </w:r>
          </w:p>
        </w:tc>
        <w:tc>
          <w:tcPr>
            <w:tcW w:type="dxa" w:w="1361"/>
          </w:tcPr>
          <w:p>
            <w:pPr>
              <w:spacing w:line="240" w:lineRule="auto"/>
              <w:jc w:val="center"/>
            </w:pPr>
            <w:r>
              <w:rPr>
                <w:rFonts w:ascii="바탕" w:hAnsi="바탕" w:eastAsia="바탕"/>
                <w:b w:val="0"/>
                <w:i w:val="0"/>
                <w:sz w:val="18"/>
              </w:rPr>
              <w:t>[6.7, 9.3]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[16.4,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8은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8" name="Picture 8"/>
            <wp:cNvGraphicFramePr>
              <a:graphicFrameLocks noChangeAspect="1"/>
            </wp:cNvGraphicFramePr>
            <a:graphic>
              <a:graphicData uri="http://schemas.openxmlformats.org/drawingml/2006/picture">
                <pic:pic>
                  <pic:nvPicPr>
                    <pic:cNvPr id="0" name="fig_fair_fairness_curves_MountainCar-v0.png"/>
                    <pic:cNvPicPr/>
                  </pic:nvPicPr>
                  <pic:blipFill>
                    <a:blip r:embed="rId17"/>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8.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8.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widowControl/>
        <w:spacing w:line="480" w:lineRule="auto" w:before="0" w:after="0"/>
        <w:ind w:firstLine="400"/>
        <w:jc w:val="both"/>
      </w:pPr>
      <w:r>
        <w:rPr>
          <w:rFonts w:ascii="바탕" w:hAnsi="바탕" w:eastAsia="바탕"/>
          <w:b/>
          <w:i w:val="0"/>
          <w:sz w:val="20"/>
        </w:rPr>
        <w:t>예산을 늘리면 나아지리라는 기대는 빗나갔다.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 예산을 5배로 늘리자(20만 → 100만 스텝) </w:t>
      </w:r>
      <w:r>
        <w:rPr>
          <w:rFonts w:ascii="바탕" w:hAnsi="바탕" w:eastAsia="바탕"/>
          <w:b/>
          <w:i w:val="0"/>
          <w:sz w:val="20"/>
        </w:rPr>
        <w:t>세 계열 모두 점수가 떨어졌다</w:t>
      </w:r>
      <w:r>
        <w:rPr>
          <w:rFonts w:ascii="바탕" w:hAnsi="바탕" w:eastAsia="바탕"/>
          <w:b w:val="0"/>
          <w:i w:val="0"/>
          <w:sz w:val="20"/>
        </w:rPr>
        <w:t>: 표준 DQN 189→148(구간 폭 45→105) · TempoRL 159→4(구간 폭 52→264) · Lazy-MDP 210→169(구간 폭 55→151).</w:t>
      </w:r>
    </w:p>
    <w:p>
      <w:pPr>
        <w:widowControl/>
        <w:spacing w:line="480" w:lineRule="auto" w:before="0" w:after="0"/>
        <w:ind w:firstLine="400"/>
        <w:jc w:val="both"/>
      </w:pPr>
      <w:r>
        <w:rPr>
          <w:rFonts w:ascii="바탕" w:hAnsi="바탕" w:eastAsia="바탕"/>
          <w:b/>
          <w:i w:val="0"/>
          <w:sz w:val="20"/>
        </w:rPr>
        <w:t>MinAtar_Freeway-v1</w:t>
      </w:r>
      <w:r>
        <w:rPr>
          <w:rFonts w:ascii="바탕" w:hAnsi="바탕" w:eastAsia="바탕"/>
          <w:b w:val="0"/>
          <w:i w:val="0"/>
          <w:sz w:val="20"/>
        </w:rPr>
        <w:t>에서 예산을 3.3배로 늘리자(30만 → 100만 스텝) 1개 계열의 점수가 떨어졌다: 표준 DQN 7→9(구간 폭 3→3) · TempoRL 9→8(구간 폭 2→3) · Lazy-MDP 14→14(구간 폭 3→2).</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예산을 늘려도 규칙을 더 크게 이기지 못했다(가장 나은 계열이 규칙의 104% — 본실험보다 줄었다). </w:t>
      </w:r>
      <w:r>
        <w:rPr>
          <w:rFonts w:ascii="바탕" w:hAnsi="바탕" w:eastAsia="바탕"/>
          <w:b/>
          <w:i w:val="0"/>
          <w:sz w:val="20"/>
        </w:rPr>
        <w:t>MinAtar_Freeway-v1</w:t>
      </w:r>
      <w:r>
        <w:rPr>
          <w:rFonts w:ascii="바탕" w:hAnsi="바탕" w:eastAsia="바탕"/>
          <w:b w:val="0"/>
          <w:i w:val="0"/>
          <w:sz w:val="20"/>
        </w:rPr>
        <w:t xml:space="preserve">에서는 예산을 늘려도 규칙에 닿지 못했다(가장 나은 계열이 규칙의 82%). </w:t>
      </w:r>
      <w:r>
        <w:rPr>
          <w:rFonts w:ascii="바탕" w:hAnsi="바탕" w:eastAsia="바탕"/>
          <w:b/>
          <w:i w:val="0"/>
          <w:sz w:val="20"/>
        </w:rPr>
        <w:t>본실험에서 보고한 λ*는 예산이 모자라 낮게 나온 값이 아니다.</w:t>
      </w:r>
    </w:p>
    <w:p>
      <w:pPr>
        <w:widowControl/>
        <w:spacing w:line="480" w:lineRule="auto" w:before="0" w:after="0"/>
        <w:ind w:firstLine="400"/>
        <w:jc w:val="both"/>
      </w:pPr>
      <w:r>
        <w:rPr>
          <w:rFonts w:ascii="바탕" w:hAnsi="바탕" w:eastAsia="바탕"/>
          <w:b w:val="0"/>
          <w:i w:val="0"/>
          <w:sz w:val="20"/>
        </w:rPr>
        <w:t xml:space="preserve">LunarLander에서는 점수가 떨어졌을 뿐 아니라 </w:t>
      </w:r>
      <w:r>
        <w:rPr>
          <w:rFonts w:ascii="바탕" w:hAnsi="바탕" w:eastAsia="바탕"/>
          <w:b/>
          <w:i w:val="0"/>
          <w:sz w:val="20"/>
        </w:rPr>
        <w:t>신뢰구간 폭이 2.3~5.1배로 벌어졌다</w:t>
      </w:r>
      <w:r>
        <w:rPr>
          <w:rFonts w:ascii="바탕" w:hAnsi="바탕" w:eastAsia="바탕"/>
          <w:b w:val="0"/>
          <w:i w:val="0"/>
          <w:sz w:val="20"/>
        </w:rPr>
        <w:t xml:space="preserve"> — 오래 학습시킬수록 시드마다 결과가 크게 갈린다는 뜻이다. 이 연구는 조기 종료를 쓰지 않고 정해진 예산을 끝까지 소진하므로, 학습이 한 번 무너지면 회복하지 못한 채 끝난다.</w:t>
      </w:r>
    </w:p>
    <w:p>
      <w:pPr>
        <w:widowControl/>
        <w:spacing w:line="480" w:lineRule="auto" w:before="0" w:after="0"/>
        <w:ind w:firstLine="400"/>
        <w:jc w:val="both"/>
      </w:pPr>
      <w:r>
        <w:rPr>
          <w:rFonts w:ascii="바탕" w:hAnsi="바탕" w:eastAsia="바탕"/>
          <w:b w:val="0"/>
          <w:i w:val="0"/>
          <w:sz w:val="20"/>
        </w:rPr>
        <w:t>다만 이것은 이 설정에서의 관찰이다. 조기 종료나 학습률 감소를 쓰면 달라질 수 있고, 그 확인은 이 연구의 범위 밖이다.</w:t>
      </w:r>
    </w:p>
    <w:p>
      <w:pPr>
        <w:keepNext/>
        <w:widowControl/>
        <w:spacing w:line="312" w:lineRule="auto" w:before="200" w:after="80"/>
        <w:jc w:val="left"/>
      </w:pPr>
      <w:r>
        <w:rPr>
          <w:rFonts w:ascii="맑은 고딕" w:hAnsi="맑은 고딕" w:eastAsia="맑은 고딕"/>
          <w:b/>
          <w:i w:val="0"/>
          <w:sz w:val="22"/>
        </w:rPr>
        <w:t>8.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12.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12.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160" w:after="60"/>
        <w:jc w:val="left"/>
      </w:pPr>
      <w:r>
        <w:rPr>
          <w:rFonts w:ascii="맑은 고딕" w:hAnsi="맑은 고딕" w:eastAsia="맑은 고딕"/>
          <w:b/>
          <w:i w:val="0"/>
          <w:sz w:val="20"/>
        </w:rPr>
        <w:t>기본 정책을 잘 만들면 Lazy-MDP도 좋아지는가</w:t>
      </w:r>
    </w:p>
    <w:p>
      <w:pPr>
        <w:widowControl/>
        <w:spacing w:line="480" w:lineRule="auto" w:before="0" w:after="0"/>
        <w:ind w:firstLine="400"/>
        <w:jc w:val="both"/>
      </w:pPr>
      <w:r>
        <w:rPr>
          <w:rFonts w:ascii="바탕" w:hAnsi="바탕" w:eastAsia="바탕"/>
          <w:b w:val="0"/>
          <w:i w:val="0"/>
          <w:sz w:val="20"/>
        </w:rPr>
        <w:t xml:space="preserve">Lazy-MDP는 </w:t>
      </w:r>
      <w:r>
        <w:rPr>
          <w:rFonts w:ascii="바탕" w:hAnsi="바탕" w:eastAsia="바탕"/>
          <w:b/>
          <w:i w:val="0"/>
          <w:sz w:val="20"/>
        </w:rPr>
        <w:t>기본 정책에 맡기기</w:t>
      </w:r>
      <w:r>
        <w:rPr>
          <w:rFonts w:ascii="바탕" w:hAnsi="바탕" w:eastAsia="바탕"/>
          <w:b w:val="0"/>
          <w:i w:val="0"/>
          <w:sz w:val="20"/>
        </w:rPr>
        <w:t>라는 선택지를 하나 더 갖는다. 그렇다면 그 기본 정책을 잘 만들수록 Lazy도 좋아져야 할 것 같다. 실제로 이 연구는 한동안 "Lazy 성적은 약한 규칙 위에서 난 것이라 하한이다"라고 적어 두었다. 확인하려고 기본 정책만 계수를 다시 고른 규칙으로 바꿔 같은 조건에서 다시 돌렸다(λ 12개 × 시드 10개).</w:t>
      </w:r>
    </w:p>
    <w:p>
      <w:pPr>
        <w:widowControl/>
        <w:spacing w:line="480" w:lineRule="auto" w:before="0" w:after="0"/>
        <w:ind w:firstLine="400"/>
        <w:jc w:val="both"/>
      </w:pPr>
      <w:r>
        <w:rPr>
          <w:rFonts w:ascii="바탕" w:hAnsi="바탕" w:eastAsia="바탕"/>
          <w:b/>
          <w:i w:val="0"/>
          <w:sz w:val="20"/>
        </w:rPr>
        <w:t>기대는 빗나갔다.</w:t>
      </w:r>
    </w:p>
    <w:p>
      <w:pPr>
        <w:keepNext/>
        <w:widowControl/>
        <w:spacing w:line="276" w:lineRule="auto" w:before="200" w:after="40"/>
        <w:jc w:val="center"/>
      </w:pPr>
      <w:r>
        <w:rPr>
          <w:rFonts w:ascii="맑은 고딕" w:hAnsi="맑은 고딕" w:eastAsia="맑은 고딕"/>
          <w:b/>
          <w:i w:val="0"/>
          <w:sz w:val="19"/>
        </w:rPr>
        <w:t>표 13. Lazy-MDP의 기본 정책을 바꿨을 때 (LunarLander-v3, 시드 10개)</w:t>
      </w:r>
    </w:p>
    <w:p>
      <w:pPr>
        <w:keepNext/>
        <w:widowControl/>
        <w:spacing w:line="276" w:lineRule="auto" w:before="0" w:after="60"/>
        <w:jc w:val="center"/>
      </w:pPr>
      <w:r>
        <w:rPr>
          <w:rFonts w:ascii="맑은 고딕" w:hAnsi="맑은 고딕" w:eastAsia="맑은 고딕"/>
          <w:b w:val="0"/>
          <w:i/>
          <w:sz w:val="18"/>
        </w:rPr>
        <w:t>Table 13. Changing the base policy of Lazy-MDP (LunarLander-v3, 10 seeds)</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기본 정책</w:t>
            </w:r>
          </w:p>
        </w:tc>
        <w:tc>
          <w:tcPr>
            <w:tcW w:type="dxa" w:w="1814"/>
            <w:shd w:val="clear" w:color="auto" w:fill="EDEDED"/>
          </w:tcPr>
          <w:p>
            <w:pPr>
              <w:keepNext/>
              <w:spacing w:line="240" w:lineRule="auto"/>
              <w:jc w:val="center"/>
            </w:pPr>
            <w:r/>
            <w:r>
              <w:rPr>
                <w:rFonts w:ascii="맑은 고딕" w:hAnsi="맑은 고딕" w:eastAsia="맑은 고딕"/>
                <w:b/>
                <w:i w:val="0"/>
                <w:sz w:val="18"/>
              </w:rPr>
              <w:t>λ=0 점수 r′ [95% CI]</w:t>
            </w:r>
          </w:p>
        </w:tc>
        <w:tc>
          <w:tcPr>
            <w:tcW w:type="dxa" w:w="1814"/>
            <w:shd w:val="clear" w:color="auto" w:fill="EDEDED"/>
          </w:tcPr>
          <w:p>
            <w:pPr>
              <w:keepNext/>
              <w:spacing w:line="240" w:lineRule="auto"/>
              <w:jc w:val="center"/>
            </w:pPr>
            <w:r/>
            <w:r>
              <w:rPr>
                <w:rFonts w:ascii="맑은 고딕" w:hAnsi="맑은 고딕" w:eastAsia="맑은 고딕"/>
                <w:b/>
                <w:i w:val="0"/>
                <w:sz w:val="18"/>
              </w:rPr>
              <w:t>λ=0 행동 횟수</w:t>
            </w:r>
          </w:p>
        </w:tc>
        <w:tc>
          <w:tcPr>
            <w:tcW w:type="dxa" w:w="1814"/>
            <w:shd w:val="clear" w:color="auto" w:fill="EDEDED"/>
          </w:tcPr>
          <w:p>
            <w:pPr>
              <w:keepNext/>
              <w:spacing w:line="240" w:lineRule="auto"/>
              <w:jc w:val="center"/>
            </w:pPr>
            <w:r/>
            <w:r>
              <w:rPr>
                <w:rFonts w:ascii="맑은 고딕" w:hAnsi="맑은 고딕" w:eastAsia="맑은 고딕"/>
                <w:b/>
                <w:i w:val="0"/>
                <w:sz w:val="18"/>
              </w:rPr>
              <w:t>λ*_CI</w:t>
            </w:r>
          </w:p>
        </w:tc>
        <w:tc>
          <w:tcPr>
            <w:tcW w:type="dxa" w:w="1814"/>
            <w:shd w:val="clear" w:color="auto" w:fill="EDEDED"/>
          </w:tcPr>
          <w:p>
            <w:pPr>
              <w:keepNext/>
              <w:spacing w:line="240" w:lineRule="auto"/>
              <w:jc w:val="center"/>
            </w:pPr>
            <w:r/>
            <w:r>
              <w:rPr>
                <w:rFonts w:ascii="맑은 고딕" w:hAnsi="맑은 고딕" w:eastAsia="맑은 고딕"/>
                <w:b/>
                <w:i w:val="0"/>
                <w:sz w:val="18"/>
              </w:rPr>
              <w:t>λ*_점추정</w:t>
            </w:r>
          </w:p>
        </w:tc>
      </w:tr>
      <w:tr>
        <w:trPr>
          <w:cantSplit/>
        </w:trPr>
        <w:tc>
          <w:tcPr>
            <w:tcW w:type="dxa" w:w="1814"/>
          </w:tcPr>
          <w:p>
            <w:pPr>
              <w:keepNext/>
              <w:spacing w:line="240" w:lineRule="auto"/>
              <w:jc w:val="left"/>
            </w:pPr>
            <w:r>
              <w:rPr>
                <w:rFonts w:ascii="바탕" w:hAnsi="바탕" w:eastAsia="바탕"/>
                <w:b w:val="0"/>
                <w:i w:val="0"/>
                <w:sz w:val="18"/>
              </w:rPr>
              <w:t>처음 규칙 (약함)</w:t>
            </w:r>
          </w:p>
        </w:tc>
        <w:tc>
          <w:tcPr>
            <w:tcW w:type="dxa" w:w="1814"/>
          </w:tcPr>
          <w:p>
            <w:pPr>
              <w:keepNext/>
              <w:spacing w:line="240" w:lineRule="auto"/>
              <w:jc w:val="center"/>
            </w:pPr>
            <w:r>
              <w:rPr>
                <w:rFonts w:ascii="바탕" w:hAnsi="바탕" w:eastAsia="바탕"/>
                <w:b w:val="0"/>
                <w:i w:val="0"/>
                <w:sz w:val="18"/>
              </w:rPr>
              <w:t xml:space="preserve">210.1 </w:t>
            </w:r>
            <w:r>
              <w:rPr>
                <w:rFonts w:ascii="바탕" w:hAnsi="바탕" w:eastAsia="바탕"/>
                <w:b w:val="0"/>
                <w:i w:val="0"/>
                <w:sz w:val="18"/>
                <w:vertAlign w:val="superscript"/>
              </w:rPr>
              <w:t>[180, 234]</w:t>
            </w:r>
          </w:p>
        </w:tc>
        <w:tc>
          <w:tcPr>
            <w:tcW w:type="dxa" w:w="1814"/>
          </w:tcPr>
          <w:p>
            <w:pPr>
              <w:keepNext/>
              <w:spacing w:line="240" w:lineRule="auto"/>
              <w:jc w:val="center"/>
            </w:pPr>
            <w:r>
              <w:rPr>
                <w:rFonts w:ascii="바탕" w:hAnsi="바탕" w:eastAsia="바탕"/>
                <w:b w:val="0"/>
                <w:i w:val="0"/>
                <w:sz w:val="18"/>
              </w:rPr>
              <w:t>247</w:t>
            </w:r>
          </w:p>
        </w:tc>
        <w:tc>
          <w:tcPr>
            <w:tcW w:type="dxa" w:w="1814"/>
          </w:tcPr>
          <w:p>
            <w:pPr>
              <w:keepNext/>
              <w:spacing w:line="240" w:lineRule="auto"/>
              <w:jc w:val="center"/>
            </w:pPr>
            <w:r>
              <w:rPr>
                <w:rFonts w:ascii="바탕" w:hAnsi="바탕" w:eastAsia="바탕"/>
                <w:b w:val="0"/>
                <w:i w:val="0"/>
                <w:sz w:val="18"/>
              </w:rPr>
              <w:t>0.6</w:t>
            </w:r>
          </w:p>
        </w:tc>
        <w:tc>
          <w:tcPr>
            <w:tcW w:type="dxa" w:w="1814"/>
          </w:tcPr>
          <w:p>
            <w:pPr>
              <w:keepNext/>
              <w:spacing w:line="240" w:lineRule="auto"/>
              <w:jc w:val="center"/>
            </w:pPr>
            <w:r>
              <w:rPr>
                <w:rFonts w:ascii="바탕" w:hAnsi="바탕" w:eastAsia="바탕"/>
                <w:b w:val="0"/>
                <w:i w:val="0"/>
                <w:sz w:val="18"/>
              </w:rPr>
              <w:t>2</w:t>
            </w:r>
          </w:p>
        </w:tc>
      </w:tr>
      <w:tr>
        <w:trPr>
          <w:cantSplit/>
        </w:trPr>
        <w:tc>
          <w:tcPr>
            <w:tcW w:type="dxa" w:w="1814"/>
          </w:tcPr>
          <w:p>
            <w:pPr>
              <w:spacing w:line="240" w:lineRule="auto"/>
              <w:jc w:val="left"/>
            </w:pPr>
            <w:r>
              <w:rPr>
                <w:rFonts w:ascii="바탕" w:hAnsi="바탕" w:eastAsia="바탕"/>
                <w:b w:val="0"/>
                <w:i w:val="0"/>
                <w:sz w:val="18"/>
              </w:rPr>
              <w:t>다시 고른 규칙 (강함)</w:t>
            </w:r>
          </w:p>
        </w:tc>
        <w:tc>
          <w:tcPr>
            <w:tcW w:type="dxa" w:w="1814"/>
          </w:tcPr>
          <w:p>
            <w:pPr>
              <w:spacing w:line="240" w:lineRule="auto"/>
              <w:jc w:val="center"/>
            </w:pPr>
            <w:r>
              <w:rPr>
                <w:rFonts w:ascii="바탕" w:hAnsi="바탕" w:eastAsia="바탕"/>
                <w:b w:val="0"/>
                <w:i w:val="0"/>
                <w:sz w:val="18"/>
              </w:rPr>
              <w:t xml:space="preserve">194.6 </w:t>
            </w:r>
            <w:r>
              <w:rPr>
                <w:rFonts w:ascii="바탕" w:hAnsi="바탕" w:eastAsia="바탕"/>
                <w:b w:val="0"/>
                <w:i w:val="0"/>
                <w:sz w:val="18"/>
                <w:vertAlign w:val="superscript"/>
              </w:rPr>
              <w:t>[153, 214]</w:t>
            </w:r>
          </w:p>
        </w:tc>
        <w:tc>
          <w:tcPr>
            <w:tcW w:type="dxa" w:w="1814"/>
          </w:tcPr>
          <w:p>
            <w:pPr>
              <w:spacing w:line="240" w:lineRule="auto"/>
              <w:jc w:val="center"/>
            </w:pPr>
            <w:r>
              <w:rPr>
                <w:rFonts w:ascii="바탕" w:hAnsi="바탕" w:eastAsia="바탕"/>
                <w:b w:val="0"/>
                <w:i w:val="0"/>
                <w:sz w:val="18"/>
              </w:rPr>
              <w:t>188</w:t>
            </w:r>
          </w:p>
        </w:tc>
        <w:tc>
          <w:tcPr>
            <w:tcW w:type="dxa" w:w="1814"/>
          </w:tcPr>
          <w:p>
            <w:pPr>
              <w:spacing w:line="240" w:lineRule="auto"/>
              <w:jc w:val="center"/>
            </w:pPr>
            <w:r>
              <w:rPr>
                <w:rFonts w:ascii="바탕" w:hAnsi="바탕" w:eastAsia="바탕"/>
                <w:b w:val="0"/>
                <w:i w:val="0"/>
                <w:sz w:val="18"/>
              </w:rPr>
              <w:t>0</w:t>
            </w:r>
          </w:p>
        </w:tc>
        <w:tc>
          <w:tcPr>
            <w:tcW w:type="dxa" w:w="1814"/>
          </w:tcPr>
          <w:p>
            <w:pPr>
              <w:spacing w:line="240" w:lineRule="auto"/>
              <w:jc w:val="center"/>
            </w:pPr>
            <w:r>
              <w:rPr>
                <w:rFonts w:ascii="바탕" w:hAnsi="바탕" w:eastAsia="바탕"/>
                <w:b w:val="0"/>
                <w:i w:val="0"/>
                <w:sz w:val="18"/>
              </w:rPr>
              <w:t>1</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좋은 기본 정책을 주자 </w:t>
      </w:r>
      <w:r>
        <w:rPr>
          <w:rFonts w:ascii="바탕" w:hAnsi="바탕" w:eastAsia="바탕"/>
          <w:b/>
          <w:i w:val="0"/>
          <w:sz w:val="20"/>
        </w:rPr>
        <w:t>행동은 58회 줄었지만 점수는 오르지 않았고</w:t>
      </w:r>
      <w:r>
        <w:rPr>
          <w:rFonts w:ascii="바탕" w:hAnsi="바탕" w:eastAsia="바탕"/>
          <w:b w:val="0"/>
          <w:i w:val="0"/>
          <w:sz w:val="20"/>
        </w:rPr>
        <w:t xml:space="preserve">, 통계적 우위가 사라지는 지점(λ*_CI)은 오히려 앞당겨졌다. 신뢰구간이 대부분의 λ에서 겹치므로 </w:t>
      </w:r>
      <w:r>
        <w:rPr>
          <w:rFonts w:ascii="바탕" w:hAnsi="바탕" w:eastAsia="바탕"/>
          <w:b/>
          <w:i w:val="0"/>
          <w:sz w:val="20"/>
        </w:rPr>
        <w:t>어느 쪽이 낫다고 말하지는 않는다.</w:t>
      </w:r>
      <w:r>
        <w:rPr>
          <w:rFonts w:ascii="바탕" w:hAnsi="바탕" w:eastAsia="바탕"/>
          <w:b w:val="0"/>
          <w:i w:val="0"/>
          <w:sz w:val="20"/>
        </w:rPr>
        <w:t xml:space="preserve"> 확실한 것은 </w:t>
      </w:r>
      <w:r>
        <w:rPr>
          <w:rFonts w:ascii="바탕" w:hAnsi="바탕" w:eastAsia="바탕"/>
          <w:b/>
          <w:i w:val="0"/>
          <w:sz w:val="20"/>
        </w:rPr>
        <w:t>'하한'이라는 기대가 확인되지 않았다</w:t>
      </w:r>
      <w:r>
        <w:rPr>
          <w:rFonts w:ascii="바탕" w:hAnsi="바탕" w:eastAsia="바탕"/>
          <w:b w:val="0"/>
          <w:i w:val="0"/>
          <w:sz w:val="20"/>
        </w:rPr>
        <w:t>는 것이다.</w:t>
      </w:r>
    </w:p>
    <w:p>
      <w:pPr>
        <w:widowControl/>
        <w:spacing w:line="480" w:lineRule="auto" w:before="0" w:after="0"/>
        <w:ind w:firstLine="400"/>
        <w:jc w:val="both"/>
      </w:pPr>
      <w:r>
        <w:rPr>
          <w:rFonts w:ascii="바탕" w:hAnsi="바탕" w:eastAsia="바탕"/>
          <w:b w:val="0"/>
          <w:i w:val="0"/>
          <w:sz w:val="20"/>
        </w:rPr>
        <w:t xml:space="preserve">한 가지 해석이 가능하다. 기본 정책이 강하면 위임이 매력적이어서 에이전트의 행동이 규칙 쪽으로 수렴하고, 그러면 </w:t>
      </w:r>
      <w:r>
        <w:rPr>
          <w:rFonts w:ascii="바탕" w:hAnsi="바탕" w:eastAsia="바탕"/>
          <w:b/>
          <w:i w:val="0"/>
          <w:sz w:val="20"/>
        </w:rPr>
        <w:t>규칙을 크게 넘어설 여지도 함께 사라진다.</w:t>
      </w:r>
      <w:r>
        <w:rPr>
          <w:rFonts w:ascii="바탕" w:hAnsi="바탕" w:eastAsia="바탕"/>
          <w:b w:val="0"/>
          <w:i w:val="0"/>
          <w:sz w:val="20"/>
        </w:rPr>
        <w:t xml:space="preserve"> 반대로 기본 정책이 약하면 위임할 이유가 없어 직접 행동하는 법을 배워야 하고, 그렇게 배운 정책이 다시 고른 규칙보다 나았을 수 있다. </w:t>
      </w:r>
      <w:r>
        <w:rPr>
          <w:rFonts w:ascii="바탕" w:hAnsi="바탕" w:eastAsia="바탕"/>
          <w:b/>
          <w:i w:val="0"/>
          <w:sz w:val="20"/>
        </w:rPr>
        <w:t>다만 이것은 관측에 대한 해석이지 확인한 것이 아니다</w:t>
      </w:r>
      <w:r>
        <w:rPr>
          <w:rFonts w:ascii="바탕" w:hAnsi="바탕" w:eastAsia="바탕"/>
          <w:b w:val="0"/>
          <w:i w:val="0"/>
          <w:sz w:val="20"/>
        </w:rPr>
        <w:t xml:space="preserve"> — 어느 상태에서 위임했는지를 보아야 말할 수 있고, 그것은 이 연구에서 하지 않았다(Ⅴ장 다음 연구).</w:t>
      </w:r>
    </w:p>
    <w:p>
      <w:pPr>
        <w:keepNext/>
        <w:widowControl/>
        <w:spacing w:line="312" w:lineRule="auto" w:before="200" w:after="80"/>
        <w:jc w:val="left"/>
      </w:pPr>
      <w:r>
        <w:rPr>
          <w:rFonts w:ascii="맑은 고딕" w:hAnsi="맑은 고딕" w:eastAsia="맑은 고딕"/>
          <w:b/>
          <w:i w:val="0"/>
          <w:sz w:val="22"/>
        </w:rPr>
        <w:t>9. 비용을 어떻게 세느냐가 답을 바꾼다</w:t>
      </w:r>
    </w:p>
    <w:p>
      <w:pPr>
        <w:widowControl/>
        <w:spacing w:line="480" w:lineRule="auto" w:before="0" w:after="0"/>
        <w:ind w:firstLine="400"/>
        <w:jc w:val="both"/>
      </w:pPr>
      <w:r>
        <w:rPr>
          <w:rFonts w:ascii="바탕" w:hAnsi="바탕" w:eastAsia="바탕"/>
          <w:b w:val="0"/>
          <w:i w:val="0"/>
          <w:sz w:val="20"/>
        </w:rPr>
        <w:t xml:space="preserve">이 연구의 지도는 </w:t>
      </w:r>
      <w:r>
        <w:rPr>
          <w:rFonts w:ascii="바탕" w:hAnsi="바탕" w:eastAsia="바탕"/>
          <w:b/>
          <w:i w:val="0"/>
          <w:sz w:val="20"/>
        </w:rPr>
        <w:t>매 스텝 과금</w:t>
      </w:r>
      <w:r>
        <w:rPr>
          <w:rFonts w:ascii="바탕" w:hAnsi="바탕" w:eastAsia="바탕"/>
          <w:b w:val="0"/>
          <w:i w:val="0"/>
          <w:sz w:val="20"/>
        </w:rPr>
        <w:t xml:space="preserve">(행동을 실행하는 스텝마다 λ) 위에 있다. 실제 설비에서는 행동이 </w:t>
      </w:r>
      <w:r>
        <w:rPr>
          <w:rFonts w:ascii="바탕" w:hAnsi="바탕" w:eastAsia="바탕"/>
          <w:b/>
          <w:i w:val="0"/>
          <w:sz w:val="20"/>
        </w:rPr>
        <w:t>바뀔 때만</w:t>
      </w:r>
      <w:r>
        <w:rPr>
          <w:rFonts w:ascii="바탕" w:hAnsi="바탕" w:eastAsia="바탕"/>
          <w:b w:val="0"/>
          <w:i w:val="0"/>
          <w:sz w:val="20"/>
        </w:rPr>
        <w:t xml:space="preserve"> 무는 해석(전환 비용)도 흔하다. 밸브를 계속 열어 두는 것은 공짜고 여닫는 순간에만 마모가 생기는 경우다. 같은 환경(MountainCar)·같은 계열·같은 예산에서 </w:t>
      </w:r>
      <w:r>
        <w:rPr>
          <w:rFonts w:ascii="바탕" w:hAnsi="바탕" w:eastAsia="바탕"/>
          <w:b/>
          <w:i w:val="0"/>
          <w:sz w:val="20"/>
        </w:rPr>
        <w:t>과금 방식만</w:t>
      </w:r>
      <w:r>
        <w:rPr>
          <w:rFonts w:ascii="바탕" w:hAnsi="바탕" w:eastAsia="바탕"/>
          <w:b w:val="0"/>
          <w:i w:val="0"/>
          <w:sz w:val="20"/>
        </w:rPr>
        <w:t xml:space="preserve"> 바꿔 다시 쟀다.</w:t>
      </w:r>
    </w:p>
    <w:p>
      <w:pPr>
        <w:keepNext/>
        <w:widowControl/>
        <w:spacing w:line="276" w:lineRule="auto" w:before="200" w:after="40"/>
        <w:jc w:val="center"/>
      </w:pPr>
      <w:r>
        <w:rPr>
          <w:rFonts w:ascii="맑은 고딕" w:hAnsi="맑은 고딕" w:eastAsia="맑은 고딕"/>
          <w:b/>
          <w:i w:val="0"/>
          <w:sz w:val="19"/>
        </w:rPr>
        <w:t>표 14. 전환 과금에서의 목표 도달률 (MountainCar-v0, 시드 10개)</w:t>
      </w:r>
    </w:p>
    <w:p>
      <w:pPr>
        <w:keepNext/>
        <w:widowControl/>
        <w:spacing w:line="276" w:lineRule="auto" w:before="0" w:after="60"/>
        <w:jc w:val="center"/>
      </w:pPr>
      <w:r>
        <w:rPr>
          <w:rFonts w:ascii="맑은 고딕" w:hAnsi="맑은 고딕" w:eastAsia="맑은 고딕"/>
          <w:b w:val="0"/>
          <w:i/>
          <w:sz w:val="18"/>
        </w:rPr>
        <w:t>Table 14. Goal-reaching rate under per-switch cost (MountainCar-v0, 10 seeds)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계열</w:t>
            </w:r>
          </w:p>
        </w:tc>
        <w:tc>
          <w:tcPr>
            <w:tcW w:type="dxa" w:w="1296"/>
            <w:shd w:val="clear" w:color="auto" w:fill="EDEDED"/>
          </w:tcPr>
          <w:p>
            <w:pPr>
              <w:keepNext/>
              <w:spacing w:line="240" w:lineRule="auto"/>
              <w:jc w:val="center"/>
            </w:pPr>
            <w:r/>
            <w:r>
              <w:rPr>
                <w:rFonts w:ascii="맑은 고딕" w:hAnsi="맑은 고딕" w:eastAsia="맑은 고딕"/>
                <w:b/>
                <w:i w:val="0"/>
                <w:sz w:val="18"/>
              </w:rPr>
              <w:t>λ=0</w:t>
            </w:r>
          </w:p>
        </w:tc>
        <w:tc>
          <w:tcPr>
            <w:tcW w:type="dxa" w:w="1296"/>
            <w:shd w:val="clear" w:color="auto" w:fill="EDEDED"/>
          </w:tcPr>
          <w:p>
            <w:pPr>
              <w:keepNext/>
              <w:spacing w:line="240" w:lineRule="auto"/>
              <w:jc w:val="center"/>
            </w:pPr>
            <w:r/>
            <w:r>
              <w:rPr>
                <w:rFonts w:ascii="맑은 고딕" w:hAnsi="맑은 고딕" w:eastAsia="맑은 고딕"/>
                <w:b/>
                <w:i w:val="0"/>
                <w:sz w:val="18"/>
              </w:rPr>
              <w:t>λ=2</w:t>
            </w:r>
          </w:p>
        </w:tc>
        <w:tc>
          <w:tcPr>
            <w:tcW w:type="dxa" w:w="1296"/>
            <w:shd w:val="clear" w:color="auto" w:fill="EDEDED"/>
          </w:tcPr>
          <w:p>
            <w:pPr>
              <w:keepNext/>
              <w:spacing w:line="240" w:lineRule="auto"/>
              <w:jc w:val="center"/>
            </w:pPr>
            <w:r/>
            <w:r>
              <w:rPr>
                <w:rFonts w:ascii="맑은 고딕" w:hAnsi="맑은 고딕" w:eastAsia="맑은 고딕"/>
                <w:b/>
                <w:i w:val="0"/>
                <w:sz w:val="18"/>
              </w:rPr>
              <w:t>λ=5</w:t>
            </w:r>
          </w:p>
        </w:tc>
        <w:tc>
          <w:tcPr>
            <w:tcW w:type="dxa" w:w="1296"/>
            <w:shd w:val="clear" w:color="auto" w:fill="EDEDED"/>
          </w:tcPr>
          <w:p>
            <w:pPr>
              <w:keepNext/>
              <w:spacing w:line="240" w:lineRule="auto"/>
              <w:jc w:val="center"/>
            </w:pPr>
            <w:r/>
            <w:r>
              <w:rPr>
                <w:rFonts w:ascii="맑은 고딕" w:hAnsi="맑은 고딕" w:eastAsia="맑은 고딕"/>
                <w:b/>
                <w:i w:val="0"/>
                <w:sz w:val="18"/>
              </w:rPr>
              <w:t>λ=10</w:t>
            </w:r>
          </w:p>
        </w:tc>
        <w:tc>
          <w:tcPr>
            <w:tcW w:type="dxa" w:w="1296"/>
            <w:shd w:val="clear" w:color="auto" w:fill="EDEDED"/>
          </w:tcPr>
          <w:p>
            <w:pPr>
              <w:keepNext/>
              <w:spacing w:line="240" w:lineRule="auto"/>
              <w:jc w:val="center"/>
            </w:pPr>
            <w:r/>
            <w:r>
              <w:rPr>
                <w:rFonts w:ascii="맑은 고딕" w:hAnsi="맑은 고딕" w:eastAsia="맑은 고딕"/>
                <w:b/>
                <w:i w:val="0"/>
                <w:sz w:val="18"/>
              </w:rPr>
              <w:t>λ=18</w:t>
            </w:r>
          </w:p>
        </w:tc>
        <w:tc>
          <w:tcPr>
            <w:tcW w:type="dxa" w:w="1296"/>
            <w:shd w:val="clear" w:color="auto" w:fill="EDEDED"/>
          </w:tcPr>
          <w:p>
            <w:pPr>
              <w:keepNext/>
              <w:spacing w:line="240" w:lineRule="auto"/>
              <w:jc w:val="center"/>
            </w:pPr>
            <w:r/>
            <w:r>
              <w:rPr>
                <w:rFonts w:ascii="맑은 고딕" w:hAnsi="맑은 고딕" w:eastAsia="맑은 고딕"/>
                <w:b/>
                <w:i w:val="0"/>
                <w:sz w:val="18"/>
              </w:rPr>
              <w:t>λ=26</w:t>
            </w:r>
          </w:p>
        </w:tc>
      </w:tr>
      <w:tr>
        <w:trPr>
          <w:cantSplit/>
        </w:trPr>
        <w:tc>
          <w:tcPr>
            <w:tcW w:type="dxa" w:w="1296"/>
          </w:tcPr>
          <w:p>
            <w:pPr>
              <w:keepNext/>
              <w:spacing w:line="240" w:lineRule="auto"/>
              <w:jc w:val="left"/>
            </w:pPr>
            <w:r>
              <w:rPr>
                <w:rFonts w:ascii="바탕" w:hAnsi="바탕" w:eastAsia="바탕"/>
                <w:b/>
                <w:i w:val="0"/>
                <w:sz w:val="18"/>
              </w:rPr>
              <w:t>표준 DQN</w:t>
            </w:r>
          </w:p>
        </w:tc>
        <w:tc>
          <w:tcPr>
            <w:tcW w:type="dxa" w:w="1296"/>
          </w:tcPr>
          <w:p>
            <w:pPr>
              <w:keepNext/>
              <w:spacing w:line="240" w:lineRule="auto"/>
              <w:jc w:val="center"/>
            </w:pPr>
            <w:r>
              <w:rPr>
                <w:rFonts w:ascii="바탕" w:hAnsi="바탕" w:eastAsia="바탕"/>
                <w:b w:val="0"/>
                <w:i w:val="0"/>
                <w:sz w:val="18"/>
              </w:rPr>
              <w:t>58%</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r>
      <w:tr>
        <w:trPr>
          <w:cantSplit/>
        </w:trPr>
        <w:tc>
          <w:tcPr>
            <w:tcW w:type="dxa" w:w="1296"/>
          </w:tcPr>
          <w:p>
            <w:pPr>
              <w:keepNext/>
              <w:spacing w:line="240" w:lineRule="auto"/>
              <w:jc w:val="left"/>
            </w:pPr>
            <w:r>
              <w:rPr>
                <w:rFonts w:ascii="바탕" w:hAnsi="바탕" w:eastAsia="바탕"/>
                <w:b/>
                <w:i w:val="0"/>
                <w:sz w:val="18"/>
              </w:rPr>
              <w:t>TempoRL</w:t>
            </w:r>
          </w:p>
        </w:tc>
        <w:tc>
          <w:tcPr>
            <w:tcW w:type="dxa" w:w="1296"/>
          </w:tcPr>
          <w:p>
            <w:pPr>
              <w:keepNext/>
              <w:spacing w:line="240" w:lineRule="auto"/>
              <w:jc w:val="center"/>
            </w:pPr>
            <w:r>
              <w:rPr>
                <w:rFonts w:ascii="바탕" w:hAnsi="바탕" w:eastAsia="바탕"/>
                <w:b w:val="0"/>
                <w:i w:val="0"/>
                <w:sz w:val="18"/>
              </w:rPr>
              <w:t>86%</w:t>
            </w:r>
          </w:p>
        </w:tc>
        <w:tc>
          <w:tcPr>
            <w:tcW w:type="dxa" w:w="1296"/>
          </w:tcPr>
          <w:p>
            <w:pPr>
              <w:keepNext/>
              <w:spacing w:line="240" w:lineRule="auto"/>
              <w:jc w:val="center"/>
            </w:pPr>
            <w:r>
              <w:rPr>
                <w:rFonts w:ascii="바탕" w:hAnsi="바탕" w:eastAsia="바탕"/>
                <w:b w:val="0"/>
                <w:i w:val="0"/>
                <w:sz w:val="18"/>
              </w:rPr>
              <w:t>94%</w:t>
            </w:r>
          </w:p>
        </w:tc>
        <w:tc>
          <w:tcPr>
            <w:tcW w:type="dxa" w:w="1296"/>
          </w:tcPr>
          <w:p>
            <w:pPr>
              <w:keepNext/>
              <w:spacing w:line="240" w:lineRule="auto"/>
              <w:jc w:val="center"/>
            </w:pPr>
            <w:r>
              <w:rPr>
                <w:rFonts w:ascii="바탕" w:hAnsi="바탕" w:eastAsia="바탕"/>
                <w:b w:val="0"/>
                <w:i w:val="0"/>
                <w:sz w:val="18"/>
              </w:rPr>
              <w:t>86%</w:t>
            </w:r>
          </w:p>
        </w:tc>
        <w:tc>
          <w:tcPr>
            <w:tcW w:type="dxa" w:w="1296"/>
          </w:tcPr>
          <w:p>
            <w:pPr>
              <w:keepNext/>
              <w:spacing w:line="240" w:lineRule="auto"/>
              <w:jc w:val="center"/>
            </w:pPr>
            <w:r>
              <w:rPr>
                <w:rFonts w:ascii="바탕" w:hAnsi="바탕" w:eastAsia="바탕"/>
                <w:b w:val="0"/>
                <w:i w:val="0"/>
                <w:sz w:val="18"/>
              </w:rPr>
              <w:t>91%</w:t>
            </w:r>
          </w:p>
        </w:tc>
        <w:tc>
          <w:tcPr>
            <w:tcW w:type="dxa" w:w="1296"/>
          </w:tcPr>
          <w:p>
            <w:pPr>
              <w:keepNext/>
              <w:spacing w:line="240" w:lineRule="auto"/>
              <w:jc w:val="center"/>
            </w:pPr>
            <w:r>
              <w:rPr>
                <w:rFonts w:ascii="바탕" w:hAnsi="바탕" w:eastAsia="바탕"/>
                <w:b w:val="0"/>
                <w:i w:val="0"/>
                <w:sz w:val="18"/>
              </w:rPr>
              <w:t>73%</w:t>
            </w:r>
          </w:p>
        </w:tc>
        <w:tc>
          <w:tcPr>
            <w:tcW w:type="dxa" w:w="1296"/>
          </w:tcPr>
          <w:p>
            <w:pPr>
              <w:keepNext/>
              <w:spacing w:line="240" w:lineRule="auto"/>
              <w:jc w:val="center"/>
            </w:pPr>
            <w:r>
              <w:rPr>
                <w:rFonts w:ascii="바탕" w:hAnsi="바탕" w:eastAsia="바탕"/>
                <w:b w:val="0"/>
                <w:i w:val="0"/>
                <w:sz w:val="18"/>
              </w:rPr>
              <w:t>71%</w:t>
            </w:r>
          </w:p>
        </w:tc>
      </w:tr>
      <w:tr>
        <w:trPr>
          <w:cantSplit/>
        </w:trPr>
        <w:tc>
          <w:tcPr>
            <w:tcW w:type="dxa" w:w="1296"/>
          </w:tcPr>
          <w:p>
            <w:pPr>
              <w:keepNext/>
              <w:spacing w:line="240" w:lineRule="auto"/>
              <w:jc w:val="left"/>
            </w:pPr>
            <w:r>
              <w:rPr>
                <w:rFonts w:ascii="바탕" w:hAnsi="바탕" w:eastAsia="바탕"/>
                <w:b/>
                <w:i w:val="0"/>
                <w:sz w:val="18"/>
              </w:rPr>
              <w:t>Lazy-MDP</w:t>
            </w:r>
          </w:p>
        </w:tc>
        <w:tc>
          <w:tcPr>
            <w:tcW w:type="dxa" w:w="1296"/>
          </w:tcPr>
          <w:p>
            <w:pPr>
              <w:keepNext/>
              <w:spacing w:line="240" w:lineRule="auto"/>
              <w:jc w:val="center"/>
            </w:pPr>
            <w:r>
              <w:rPr>
                <w:rFonts w:ascii="바탕" w:hAnsi="바탕" w:eastAsia="바탕"/>
                <w:b w:val="0"/>
                <w:i w:val="0"/>
                <w:sz w:val="18"/>
              </w:rPr>
              <w:t>94%</w:t>
            </w:r>
          </w:p>
        </w:tc>
        <w:tc>
          <w:tcPr>
            <w:tcW w:type="dxa" w:w="1296"/>
          </w:tcPr>
          <w:p>
            <w:pPr>
              <w:keepNext/>
              <w:spacing w:line="240" w:lineRule="auto"/>
              <w:jc w:val="center"/>
            </w:pPr>
            <w:r>
              <w:rPr>
                <w:rFonts w:ascii="바탕" w:hAnsi="바탕" w:eastAsia="바탕"/>
                <w:b w:val="0"/>
                <w:i w:val="0"/>
                <w:sz w:val="18"/>
              </w:rPr>
              <w:t>17%</w:t>
            </w:r>
          </w:p>
        </w:tc>
        <w:tc>
          <w:tcPr>
            <w:tcW w:type="dxa" w:w="1296"/>
          </w:tcPr>
          <w:p>
            <w:pPr>
              <w:keepNext/>
              <w:spacing w:line="240" w:lineRule="auto"/>
              <w:jc w:val="center"/>
            </w:pPr>
            <w:r>
              <w:rPr>
                <w:rFonts w:ascii="바탕" w:hAnsi="바탕" w:eastAsia="바탕"/>
                <w:b w:val="0"/>
                <w:i w:val="0"/>
                <w:sz w:val="18"/>
              </w:rPr>
              <w:t>14%</w:t>
            </w:r>
          </w:p>
        </w:tc>
        <w:tc>
          <w:tcPr>
            <w:tcW w:type="dxa" w:w="1296"/>
          </w:tcPr>
          <w:p>
            <w:pPr>
              <w:keepNext/>
              <w:spacing w:line="240" w:lineRule="auto"/>
              <w:jc w:val="center"/>
            </w:pPr>
            <w:r>
              <w:rPr>
                <w:rFonts w:ascii="바탕" w:hAnsi="바탕" w:eastAsia="바탕"/>
                <w:b w:val="0"/>
                <w:i w:val="0"/>
                <w:sz w:val="18"/>
              </w:rPr>
              <w:t>8%</w:t>
            </w:r>
          </w:p>
        </w:tc>
        <w:tc>
          <w:tcPr>
            <w:tcW w:type="dxa" w:w="1296"/>
          </w:tcPr>
          <w:p>
            <w:pPr>
              <w:keepNext/>
              <w:spacing w:line="240" w:lineRule="auto"/>
              <w:jc w:val="center"/>
            </w:pPr>
            <w:r>
              <w:rPr>
                <w:rFonts w:ascii="바탕" w:hAnsi="바탕" w:eastAsia="바탕"/>
                <w:b w:val="0"/>
                <w:i w:val="0"/>
                <w:sz w:val="18"/>
              </w:rPr>
              <w:t>5%</w:t>
            </w:r>
          </w:p>
        </w:tc>
        <w:tc>
          <w:tcPr>
            <w:tcW w:type="dxa" w:w="1296"/>
          </w:tcPr>
          <w:p>
            <w:pPr>
              <w:keepNext/>
              <w:spacing w:line="240" w:lineRule="auto"/>
              <w:jc w:val="center"/>
            </w:pPr>
            <w:r>
              <w:rPr>
                <w:rFonts w:ascii="바탕" w:hAnsi="바탕" w:eastAsia="바탕"/>
                <w:b w:val="0"/>
                <w:i w:val="0"/>
                <w:sz w:val="18"/>
              </w:rPr>
              <w:t>16%</w:t>
            </w:r>
          </w:p>
        </w:tc>
      </w:tr>
      <w:tr>
        <w:trPr>
          <w:cantSplit/>
        </w:trPr>
        <w:tc>
          <w:tcPr>
            <w:tcW w:type="dxa" w:w="1296"/>
          </w:tcPr>
          <w:p>
            <w:pPr>
              <w:keepNext/>
              <w:spacing w:line="240" w:lineRule="auto"/>
              <w:jc w:val="left"/>
            </w:pPr>
            <w:r>
              <w:rPr>
                <w:rFonts w:ascii="바탕" w:hAnsi="바탕" w:eastAsia="바탕"/>
                <w:b w:val="0"/>
                <w:i w:val="0"/>
                <w:sz w:val="18"/>
              </w:rPr>
              <w:t>pump 규칙</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r>
      <w:tr>
        <w:trPr>
          <w:cantSplit/>
        </w:trPr>
        <w:tc>
          <w:tcPr>
            <w:tcW w:type="dxa" w:w="1296"/>
          </w:tcPr>
          <w:p>
            <w:pPr>
              <w:spacing w:line="240" w:lineRule="auto"/>
              <w:jc w:val="left"/>
            </w:pPr>
            <w:r>
              <w:rPr>
                <w:rFonts w:ascii="바탕" w:hAnsi="바탕" w:eastAsia="바탕"/>
                <w:b w:val="0"/>
                <w:i w:val="0"/>
                <w:sz w:val="18"/>
              </w:rPr>
              <w:t>무행동</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spacing w:line="480" w:lineRule="auto" w:before="0" w:after="0"/>
        <w:ind w:left="340" w:hanging="198"/>
      </w:pPr>
      <w:r>
        <w:rPr>
          <w:rFonts w:ascii="바탕" w:hAnsi="바탕" w:eastAsia="바탕"/>
          <w:b w:val="0"/>
          <w:i w:val="0"/>
          <w:sz w:val="20"/>
        </w:rPr>
        <w:t xml:space="preserve">· 도달률이 절반이 되는 λ가 매 스텝 과금에서는 0.0075이었는데 전환 과금에서는 2이다 — </w:t>
      </w:r>
      <w:r>
        <w:rPr>
          <w:rFonts w:ascii="바탕" w:hAnsi="바탕" w:eastAsia="바탕"/>
          <w:b/>
          <w:i w:val="0"/>
          <w:sz w:val="20"/>
        </w:rPr>
        <w:t>λ 눈금이 두 자릿수로 커졌다.</w:t>
      </w:r>
      <w:r>
        <w:rPr>
          <w:rFonts w:ascii="바탕" w:hAnsi="바탕" w:eastAsia="바탕"/>
          <w:b w:val="0"/>
          <w:i w:val="0"/>
          <w:sz w:val="20"/>
        </w:rPr>
        <w:t xml:space="preserve"> 전환은 행동보다 훨씬 드물게 일어나므로 같은 압력을 주려면 λ가 그만큼 커야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과금에서는 TempoRL만 끝까지 버틴다.</w:t>
      </w:r>
      <w:r>
        <w:rPr>
          <w:rFonts w:ascii="바탕" w:hAnsi="바탕" w:eastAsia="바탕"/>
          <w:b w:val="0"/>
          <w:i w:val="0"/>
          <w:sz w:val="20"/>
        </w:rPr>
        <w:t xml:space="preserve"> 격자 끝(λ=26)에서도 도달률 71% 아래로 내려가지 않는 반면, 표준 DQN은 λ=2에서 이미 0%가 된다. 한 번 고른 행동을 오래 유지하는 구조가 </w:t>
      </w:r>
      <w:r>
        <w:rPr>
          <w:rFonts w:ascii="바탕" w:hAnsi="바탕" w:eastAsia="바탕"/>
          <w:b/>
          <w:i w:val="0"/>
          <w:sz w:val="20"/>
        </w:rPr>
        <w:t>전환에만 값을 매기는 세상에서 곧바로 이점이 된다</w:t>
      </w:r>
      <w:r>
        <w:rPr>
          <w:rFonts w:ascii="바탕" w:hAnsi="바탕" w:eastAsia="바탕"/>
          <w:b w:val="0"/>
          <w:i w:val="0"/>
          <w:sz w:val="20"/>
        </w:rPr>
        <w:t xml:space="preserve"> — 매 스텝 과금에서는 드러나지 않던 이점이다.</w:t>
      </w:r>
    </w:p>
    <w:p>
      <w:pPr>
        <w:spacing w:line="480" w:lineRule="auto" w:before="0" w:after="0"/>
        <w:ind w:left="340" w:hanging="198"/>
      </w:pPr>
      <w:r>
        <w:rPr>
          <w:rFonts w:ascii="바탕" w:hAnsi="바탕" w:eastAsia="바탕"/>
          <w:b w:val="0"/>
          <w:i w:val="0"/>
          <w:sz w:val="20"/>
        </w:rPr>
        <w:t xml:space="preserve">· 다만 </w:t>
      </w:r>
      <w:r>
        <w:rPr>
          <w:rFonts w:ascii="바탕" w:hAnsi="바탕" w:eastAsia="바탕"/>
          <w:b/>
          <w:i w:val="0"/>
          <w:sz w:val="20"/>
        </w:rPr>
        <w:t>어느 계열도 pump 규칙을 이기지 못한다.</w:t>
      </w:r>
      <w:r>
        <w:rPr>
          <w:rFonts w:ascii="바탕" w:hAnsi="바탕" w:eastAsia="바탕"/>
          <w:b w:val="0"/>
          <w:i w:val="0"/>
          <w:sz w:val="20"/>
        </w:rPr>
        <w:t xml:space="preserve"> pump는 속도 부호가 바뀔 때만 방향을 틀어 전환이 3회뿐이라, 이 과금 방식에서 오히려 더 유리해진다. 그리고 λ가 커지면 TempoRL의 점수는 무행동 아래로 내려간다 — 버티는 것과 이득을 보는 것은 다르다.</w:t>
      </w:r>
    </w:p>
    <w:p>
      <w:pPr>
        <w:widowControl/>
        <w:spacing w:line="480" w:lineRule="auto" w:before="0" w:after="0"/>
        <w:ind w:firstLine="400"/>
        <w:jc w:val="both"/>
      </w:pPr>
      <w:r>
        <w:rPr>
          <w:rFonts w:ascii="바탕" w:hAnsi="바탕" w:eastAsia="바탕"/>
          <w:b/>
          <w:i w:val="0"/>
          <w:sz w:val="20"/>
        </w:rPr>
        <w:t>이 연구의 지도는 '매 스텝 과금'이라는 전제 위에 있다.</w:t>
      </w:r>
      <w:r>
        <w:rPr>
          <w:rFonts w:ascii="바탕" w:hAnsi="바탕" w:eastAsia="바탕"/>
          <w:b w:val="0"/>
          <w:i w:val="0"/>
          <w:sz w:val="20"/>
        </w:rPr>
        <w:t xml:space="preserve"> 전제를 바꾸면 λ 눈금뿐 아니라 </w:t>
      </w:r>
      <w:r>
        <w:rPr>
          <w:rFonts w:ascii="바탕" w:hAnsi="바탕" w:eastAsia="바탕"/>
          <w:b/>
          <w:i w:val="0"/>
          <w:sz w:val="20"/>
        </w:rPr>
        <w:t>어느 방법이 유리한지도 바뀐다.</w:t>
      </w:r>
      <w:r>
        <w:rPr>
          <w:rFonts w:ascii="바탕" w:hAnsi="바탕" w:eastAsia="바탕"/>
          <w:b w:val="0"/>
          <w:i w:val="0"/>
          <w:sz w:val="20"/>
        </w:rPr>
        <w:t xml:space="preserve"> 실무자는 자기 설비의 마모가 어느 쪽에 가까운지를 먼저 정해야 한다.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w:t>
      </w:r>
      <w:r>
        <w:rPr>
          <w:rFonts w:ascii="바탕" w:hAnsi="바탕" w:eastAsia="바탕"/>
          <w:b/>
          <w:i w:val="0"/>
          <w:sz w:val="20"/>
        </w:rPr>
        <w:t>세 환경</w:t>
      </w:r>
      <w:r>
        <w:rPr>
          <w:rFonts w:ascii="바탕" w:hAnsi="바탕" w:eastAsia="바탕"/>
          <w:b w:val="0"/>
          <w:i w:val="0"/>
          <w:sz w:val="20"/>
        </w:rPr>
        <w:t>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 xml:space="preserve">이었다. 보상이 희소한 환경에서는 비용이 없을 때조차 학습이 규칙을 넘어서지 못했고, 보상이 조밀한 환경에서는 학습이 이기되 방법에 따라 이기는 구간이 크게 달랐다. 여기서 '희소·조밀'은 인상이 아니라 잰 값이다 — 기준 규칙으로 도는 동안 MountainCar의 보상은 </w:t>
      </w:r>
      <w:r>
        <w:rPr>
          <w:rFonts w:ascii="바탕" w:hAnsi="바탕" w:eastAsia="바탕"/>
          <w:b/>
          <w:i w:val="0"/>
          <w:sz w:val="20"/>
        </w:rPr>
        <w:t>서로 다른 값이 한 가지뿐</w:t>
      </w:r>
      <w:r>
        <w:rPr>
          <w:rFonts w:ascii="바탕" w:hAnsi="바탕" w:eastAsia="바탕"/>
          <w:b w:val="0"/>
          <w:i w:val="0"/>
          <w:sz w:val="20"/>
        </w:rPr>
        <w:t>(신호 있는 스텝 0.0%)이었고 LunarLander는 16,717가지(99.8%)였다(Ⅲ장 2절).</w:t>
      </w:r>
    </w:p>
    <w:p>
      <w:pPr>
        <w:widowControl/>
        <w:spacing w:line="480" w:lineRule="auto" w:before="0" w:after="0"/>
        <w:ind w:firstLine="400"/>
        <w:jc w:val="both"/>
      </w:pPr>
      <w:r>
        <w:rPr>
          <w:rFonts w:ascii="바탕" w:hAnsi="바탕" w:eastAsia="바탕"/>
          <w:b/>
          <w:i w:val="0"/>
          <w:sz w:val="20"/>
        </w:rPr>
        <w:t>그 차이를 만드는 것이 '좋은 규칙의 존재'인지 '보상 조밀도'인지는 두 환경만으로는 가릴 수 없었다.</w:t>
      </w:r>
      <w:r>
        <w:rPr>
          <w:rFonts w:ascii="바탕" w:hAnsi="바탕" w:eastAsia="바탕"/>
          <w:b w:val="0"/>
          <w:i w:val="0"/>
          <w:sz w:val="20"/>
        </w:rPr>
        <w:t xml:space="preserve"> MountainCar는 둘 다 해당했기 때문이다. 그래서 두 축이 갈리는 환경을 하나 더 넣었다 — MinAtar/Freeway는 </w:t>
      </w:r>
      <w:r>
        <w:rPr>
          <w:rFonts w:ascii="바탕" w:hAnsi="바탕" w:eastAsia="바탕"/>
          <w:b/>
          <w:i w:val="0"/>
          <w:sz w:val="20"/>
        </w:rPr>
        <w:t>규칙 품질로는 가운데</w:t>
      </w:r>
      <w:r>
        <w:rPr>
          <w:rFonts w:ascii="바탕" w:hAnsi="바탕" w:eastAsia="바탕"/>
          <w:b w:val="0"/>
          <w:i w:val="0"/>
          <w:sz w:val="20"/>
        </w:rPr>
        <w:t xml:space="preserve">(손으로 짠 규칙이 쓸 만하지만 최적과는 거리가 있다)이면서 </w:t>
      </w:r>
      <w:r>
        <w:rPr>
          <w:rFonts w:ascii="바탕" w:hAnsi="바탕" w:eastAsia="바탕"/>
          <w:b/>
          <w:i w:val="0"/>
          <w:sz w:val="20"/>
        </w:rPr>
        <w:t>보상 조밀도로는 희소한 쪽 끝</w:t>
      </w:r>
      <w:r>
        <w:rPr>
          <w:rFonts w:ascii="바탕" w:hAnsi="바탕" w:eastAsia="바탕"/>
          <w:b w:val="0"/>
          <w:i w:val="0"/>
          <w:sz w:val="20"/>
        </w:rPr>
        <w:t xml:space="preserve">(신호 있는 스텝 1.6%)이다. 결과는 λ*가 세 계열 모두 </w:t>
      </w:r>
      <w:r>
        <w:rPr>
          <w:rFonts w:ascii="바탕" w:hAnsi="바탕" w:eastAsia="바탕"/>
          <w:b/>
          <w:i w:val="0"/>
          <w:sz w:val="20"/>
        </w:rPr>
        <w:t>0</w:t>
      </w:r>
      <w:r>
        <w:rPr>
          <w:rFonts w:ascii="바탕" w:hAnsi="바탕" w:eastAsia="바탕"/>
          <w:b w:val="0"/>
          <w:i w:val="0"/>
          <w:sz w:val="20"/>
        </w:rPr>
        <w:t xml:space="preserve"> — MountainCar와 같은 값이었다. </w:t>
      </w:r>
      <w:r>
        <w:rPr>
          <w:rFonts w:ascii="바탕" w:hAnsi="바탕" w:eastAsia="바탕"/>
          <w:b/>
          <w:i w:val="0"/>
          <w:sz w:val="20"/>
        </w:rPr>
        <w:t>λ*는 규칙 품질이 아니라 보상 조밀도를 따라간다.</w:t>
      </w:r>
      <w:r>
        <w:rPr>
          <w:rFonts w:ascii="바탕" w:hAnsi="바탕" w:eastAsia="바탕"/>
          <w:b w:val="0"/>
          <w:i w:val="0"/>
          <w:sz w:val="20"/>
        </w:rPr>
        <w:t xml:space="preserve"> 다만 환경이 셋뿐이므로 이것은 세 점이 한 방향을 가리킨다는 뜻이지 상관을 보인 것은 아니다.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보상 신호를 보라.</w:t>
      </w:r>
      <w:r>
        <w:rPr>
          <w:rFonts w:ascii="바탕" w:hAnsi="바탕" w:eastAsia="바탕"/>
          <w:b w:val="0"/>
          <w:i w:val="0"/>
          <w:sz w:val="20"/>
        </w:rPr>
        <w:t xml:space="preserve"> 보상이 상태를 구분해 주는가? 한 에피소드 안에서 보상 값이 거의 변하지 않는다면, 행동 비용을 재기 전에 이미 답이 정해져 있을 가능성이 높다 — 규칙을 쓰라. 이 연구에서 λ*를 가른 것은 '좋은 규칙이 있는가'가 아니라 </w:t>
      </w:r>
      <w:r>
        <w:rPr>
          <w:rFonts w:ascii="바탕" w:hAnsi="바탕" w:eastAsia="바탕"/>
          <w:b/>
          <w:i w:val="0"/>
          <w:sz w:val="20"/>
        </w:rPr>
        <w:t>'보상이 조밀한가'</w:t>
      </w:r>
      <w:r>
        <w:rPr>
          <w:rFonts w:ascii="바탕" w:hAnsi="바탕" w:eastAsia="바탕"/>
          <w:b w:val="0"/>
          <w:i w:val="0"/>
          <w:sz w:val="20"/>
        </w:rPr>
        <w:t xml:space="preserve"> 였다. 규칙 품질이 가운데인 환경도 보상이 희소하면 λ*가 0이었다.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비용을 어떻게 세는지부터 정하고, 거기에 맞는 구조를 골라라.</w:t>
      </w:r>
      <w:r>
        <w:rPr>
          <w:rFonts w:ascii="바탕" w:hAnsi="바탕" w:eastAsia="바탕"/>
          <w:b w:val="0"/>
          <w:i w:val="0"/>
          <w:sz w:val="20"/>
        </w:rPr>
        <w:t xml:space="preserve"> </w:t>
      </w:r>
      <w:r>
        <w:rPr>
          <w:rFonts w:ascii="바탕" w:hAnsi="바탕" w:eastAsia="바탕"/>
          <w:b/>
          <w:i w:val="0"/>
          <w:sz w:val="20"/>
        </w:rPr>
        <w:t>매 스텝 값이 붙는다면</w:t>
      </w:r>
      <w:r>
        <w:rPr>
          <w:rFonts w:ascii="바탕" w:hAnsi="바탕" w:eastAsia="바탕"/>
          <w:b w:val="0"/>
          <w:i w:val="0"/>
          <w:sz w:val="20"/>
        </w:rPr>
        <w:t xml:space="preserve">(작동 비용) Lazy-MDP 방식이다 — 학습이 실패해도 기본 규칙 수준으로 떨어질 뿐이어서 가장 안정적이었고, 잘 만든 규칙과 겨루었을 때도 유일하게 넓은 구간에서 이겼다. </w:t>
      </w:r>
      <w:r>
        <w:rPr>
          <w:rFonts w:ascii="바탕" w:hAnsi="바탕" w:eastAsia="바탕"/>
          <w:b/>
          <w:i w:val="0"/>
          <w:sz w:val="20"/>
        </w:rPr>
        <w:t>행동이 바뀔 때만 값이 붙는다면</w:t>
      </w:r>
      <w:r>
        <w:rPr>
          <w:rFonts w:ascii="바탕" w:hAnsi="바탕" w:eastAsia="바탕"/>
          <w:b w:val="0"/>
          <w:i w:val="0"/>
          <w:sz w:val="20"/>
        </w:rPr>
        <w:t xml:space="preserve">(전환 비용) TempoRL 방식이다 — 매 스텝 과금에서는 어디서도 이기지 못했지만, 전환 과금에서는 λ를 두 자릿수로 키워도 홀로 버텼다(Ⅳ장 9절). </w:t>
      </w:r>
      <w:r>
        <w:rPr>
          <w:rFonts w:ascii="바탕" w:hAnsi="바탕" w:eastAsia="바탕"/>
          <w:b/>
          <w:i w:val="0"/>
          <w:sz w:val="20"/>
        </w:rPr>
        <w:t>한 전제에서 진 방법을 그 자체로 약한 방법이라고 적으면 부당하다.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연구의 지도는 행동이 실행되는 </w:t>
      </w:r>
      <w:r>
        <w:rPr>
          <w:rFonts w:ascii="바탕" w:hAnsi="바탕" w:eastAsia="바탕"/>
          <w:b/>
          <w:i w:val="0"/>
          <w:sz w:val="20"/>
        </w:rPr>
        <w:t>매 스텝</w:t>
      </w:r>
      <w:r>
        <w:rPr>
          <w:rFonts w:ascii="바탕" w:hAnsi="바탕" w:eastAsia="바탕"/>
          <w:b w:val="0"/>
          <w:i w:val="0"/>
          <w:sz w:val="20"/>
        </w:rPr>
        <w:t xml:space="preserve"> 비용을 무는 전제(작동 비용) 위에 있다.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그 전제를 바꾸면 어떻게 되는지를 MountainCar에서 </w:t>
      </w:r>
      <w:r>
        <w:rPr>
          <w:rFonts w:ascii="바탕" w:hAnsi="바탕" w:eastAsia="바탕"/>
          <w:b/>
          <w:i w:val="0"/>
          <w:sz w:val="20"/>
        </w:rPr>
        <w:t>학습 계열까지 다시 재어 Ⅳ장 9절에 실었다.</w:t>
      </w:r>
      <w:r>
        <w:rPr>
          <w:rFonts w:ascii="바탕" w:hAnsi="바탕" w:eastAsia="바탕"/>
          <w:b w:val="0"/>
          <w:i w:val="0"/>
          <w:sz w:val="20"/>
        </w:rPr>
        <w:t xml:space="preserve"> λ 눈금이 두 자릿수로 커질 뿐 아니라 </w:t>
      </w:r>
      <w:r>
        <w:rPr>
          <w:rFonts w:ascii="바탕" w:hAnsi="바탕" w:eastAsia="바탕"/>
          <w:b/>
          <w:i w:val="0"/>
          <w:sz w:val="20"/>
        </w:rPr>
        <w:t>어느 방법이 유리한지도 바뀐다</w:t>
      </w:r>
      <w:r>
        <w:rPr>
          <w:rFonts w:ascii="바탕" w:hAnsi="바탕" w:eastAsia="바탕"/>
          <w:b w:val="0"/>
          <w:i w:val="0"/>
          <w:sz w:val="20"/>
        </w:rPr>
        <w:t xml:space="preserve"> — 전환에만 값을 매기면 한 행동을 오래 유지하는 TempoRL이 홀로 끝까지 버틴다. 아래 식이 그 눈금 변화의 이유를 설명한다.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15.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15.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Lazy-MDP의 기본 정책을 두 가지만 시험했다.</w:t>
      </w:r>
      <w:r>
        <w:rPr>
          <w:rFonts w:ascii="바탕" w:hAnsi="바탕" w:eastAsia="바탕"/>
          <w:b w:val="0"/>
          <w:i w:val="0"/>
          <w:sz w:val="20"/>
        </w:rPr>
        <w:t xml:space="preserve"> 처음 손으로 짠 규칙과 계수를 다시 고른 규칙, 둘뿐이다. 더 좋은 기본 정책을 주면 Lazy도 좋아지리라는 기대는 확인되지 않았고 (Ⅳ장 8절), 오히려 통계적 우위가 사라지는 지점이 앞당겨졌다. 다만 신뢰구간이 대부분 겹치므로 </w:t>
      </w:r>
      <w:r>
        <w:rPr>
          <w:rFonts w:ascii="바탕" w:hAnsi="바탕" w:eastAsia="바탕"/>
          <w:b/>
          <w:i w:val="0"/>
          <w:sz w:val="20"/>
        </w:rPr>
        <w:t>'좋은 기본 정책이 해롭다'고 말할 수는 없다</w:t>
      </w:r>
      <w:r>
        <w:rPr>
          <w:rFonts w:ascii="바탕" w:hAnsi="바탕" w:eastAsia="바탕"/>
          <w:b w:val="0"/>
          <w:i w:val="0"/>
          <w:sz w:val="20"/>
        </w:rPr>
        <w:t xml:space="preserve"> — 이 축을 더 넓게 훑어야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이 연구는 조밀도를 재는 지표를 하나 제안하고(보상이 상태를 구분해 주는 정도, Ⅲ장 2절) 세 환경에서 쟀지만, </w:t>
      </w:r>
      <w:r>
        <w:rPr>
          <w:rFonts w:ascii="바탕" w:hAnsi="바탕" w:eastAsia="바탕"/>
          <w:b/>
          <w:i w:val="0"/>
          <w:sz w:val="20"/>
        </w:rPr>
        <w:t>세 점으로는 상관을 말할 수 없다.</w:t>
      </w:r>
      <w:r>
        <w:rPr>
          <w:rFonts w:ascii="바탕" w:hAnsi="바탕" w:eastAsia="바탕"/>
          <w:b w:val="0"/>
          <w:i w:val="0"/>
          <w:sz w:val="20"/>
        </w:rPr>
        <w:t xml:space="preserve"> 여러 환경에서 그 지표와 λ*의 관계를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