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198"/>
      </w:pPr>
      <w:r>
        <w:rPr>
          <w:rFonts w:ascii="바탕" w:hAnsi="바탕" w:eastAsia="바탕"/>
          <w:b w:val="0"/>
          <w:i w:val="0"/>
          <w:sz w:val="20"/>
        </w:rPr>
        <w:t xml:space="preserve">· 1. </w:t>
      </w:r>
      <w:r>
        <w:rPr>
          <w:rFonts w:ascii="바탕" w:hAnsi="바탕" w:eastAsia="바탕"/>
          <w:b/>
          <w:i w:val="0"/>
          <w:sz w:val="20"/>
        </w:rPr>
        <w:t>λ-성능 지도.</w:t>
      </w:r>
      <w:r>
        <w:rPr>
          <w:rFonts w:ascii="바탕" w:hAnsi="바탕" w:eastAsia="바탕"/>
          <w:b w:val="0"/>
          <w:i w:val="0"/>
          <w:sz w:val="20"/>
        </w:rPr>
        <w:t xml:space="preserve"> 두 환경(MountainCar-v0, LunarLander-v3)에서 λ를 격자로 훑어, 비용이</w:t>
      </w:r>
    </w:p>
    <w:p>
      <w:pPr>
        <w:spacing w:line="480" w:lineRule="auto" w:before="0" w:after="0"/>
        <w:ind w:firstLine="200"/>
        <w:jc w:val="both"/>
      </w:pPr>
      <w:r>
        <w:rPr>
          <w:rFonts w:ascii="바탕" w:hAnsi="바탕" w:eastAsia="바탕"/>
          <w:b w:val="0"/>
          <w:i w:val="0"/>
          <w:sz w:val="20"/>
        </w:rPr>
        <w:t>오를 때 각 계열의 성능이 어떻게 무너지는지를 신뢰구간과 함께 그린 지도를 만들었다.</w:t>
      </w:r>
    </w:p>
    <w:p>
      <w:pPr>
        <w:spacing w:line="480" w:lineRule="auto" w:before="0" w:after="0"/>
        <w:ind w:left="340" w:hanging="198"/>
      </w:pPr>
      <w:r>
        <w:rPr>
          <w:rFonts w:ascii="바탕" w:hAnsi="바탕" w:eastAsia="바탕"/>
          <w:b w:val="0"/>
          <w:i w:val="0"/>
          <w:sz w:val="20"/>
        </w:rPr>
        <w:t>· 2. **임계 비용 λ\*.**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198"/>
      </w:pPr>
      <w:r>
        <w:rPr>
          <w:rFonts w:ascii="바탕" w:hAnsi="바탕" w:eastAsia="바탕"/>
          <w:b w:val="0"/>
          <w:i w:val="0"/>
          <w:sz w:val="20"/>
        </w:rPr>
        <w:t xml:space="preserve">· 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두 환경에서 λ\*가 0과 2.0으로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이기지 못했고, 보상이 조밀한 LunarLander에서는 행동이 상당히 비싸질 때까지 학습이 규칙을 이겼다.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λ-성능 지도와 임계 비용 표, 무행동 붕괴 분석을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276" w:lineRule="auto" w:before="200" w:after="40"/>
        <w:jc w:val="center"/>
      </w:pPr>
      <w:r>
        <w:rPr>
          <w:rFonts w:ascii="맑은 고딕" w:hAnsi="맑은 고딕" w:eastAsia="맑은 고딕"/>
          <w:b/>
          <w:i w:val="0"/>
          <w:sz w:val="19"/>
        </w:rPr>
      </w:r>
    </w:p>
    <w:p>
      <w:pPr>
        <w:spacing w:line="276" w:lineRule="auto" w:before="0" w:after="60"/>
        <w:jc w:val="center"/>
      </w:pPr>
      <w:r>
        <w:rPr>
          <w:rFonts w:ascii="맑은 고딕" w:hAnsi="맑은 고딕" w:eastAsia="맑은 고딕"/>
          <w:b w:val="0"/>
          <w:i/>
          <w:sz w:val="18"/>
        </w:rPr>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DEDED"/>
          </w:tcPr>
          <w:p>
            <w:pPr>
              <w:spacing w:line="240" w:lineRule="auto"/>
              <w:jc w:val="center"/>
            </w:pPr>
            <w:r/>
            <w:r>
              <w:rPr>
                <w:rFonts w:ascii="맑은 고딕" w:hAnsi="맑은 고딕" w:eastAsia="맑은 고딕"/>
                <w:b/>
                <w:i w:val="0"/>
                <w:sz w:val="18"/>
              </w:rPr>
              <w:t>연구</w:t>
            </w:r>
          </w:p>
        </w:tc>
        <w:tc>
          <w:tcPr>
            <w:tcW w:type="dxa" w:w="2268"/>
            <w:shd w:val="clear" w:color="auto" w:fill="EDEDED"/>
          </w:tcPr>
          <w:p>
            <w:pPr>
              <w:spacing w:line="240" w:lineRule="auto"/>
              <w:jc w:val="center"/>
            </w:pPr>
            <w:r/>
            <w:r>
              <w:rPr>
                <w:rFonts w:ascii="맑은 고딕" w:hAnsi="맑은 고딕" w:eastAsia="맑은 고딕"/>
                <w:b/>
                <w:i w:val="0"/>
                <w:sz w:val="18"/>
              </w:rPr>
              <w:t>행동을 아끼는가</w:t>
            </w:r>
          </w:p>
        </w:tc>
        <w:tc>
          <w:tcPr>
            <w:tcW w:type="dxa" w:w="2268"/>
            <w:shd w:val="clear" w:color="auto" w:fill="EDEDED"/>
          </w:tcPr>
          <w:p>
            <w:pPr>
              <w:spacing w:line="240" w:lineRule="auto"/>
              <w:jc w:val="center"/>
            </w:pPr>
            <w:r/>
            <w:r>
              <w:rPr>
                <w:rFonts w:ascii="맑은 고딕" w:hAnsi="맑은 고딕" w:eastAsia="맑은 고딕"/>
                <w:b/>
                <w:i w:val="0"/>
                <w:sz w:val="18"/>
              </w:rPr>
              <w:t>비용의 **크기**를 움직이는가</w:t>
            </w:r>
          </w:p>
        </w:tc>
        <w:tc>
          <w:tcPr>
            <w:tcW w:type="dxa" w:w="2268"/>
            <w:shd w:val="clear" w:color="auto" w:fill="EDEDED"/>
          </w:tcPr>
          <w:p>
            <w:pPr>
              <w:spacing w:line="240" w:lineRule="auto"/>
              <w:jc w:val="center"/>
            </w:pPr>
            <w:r/>
            <w:r>
              <w:rPr>
                <w:rFonts w:ascii="맑은 고딕" w:hAnsi="맑은 고딕" w:eastAsia="맑은 고딕"/>
                <w:b/>
                <w:i w:val="0"/>
                <w:sz w:val="18"/>
              </w:rPr>
              <w:t>고정 규칙과 비교하는가</w:t>
            </w:r>
          </w:p>
        </w:tc>
      </w:tr>
      <w:tr>
        <w:tc>
          <w:tcPr>
            <w:tcW w:type="dxa" w:w="2268"/>
          </w:tcPr>
          <w:p>
            <w:pPr>
              <w:spacing w:line="240" w:lineRule="auto"/>
              <w:jc w:val="left"/>
            </w:pPr>
            <w:r>
              <w:rPr>
                <w:rFonts w:ascii="바탕" w:hAnsi="바탕" w:eastAsia="바탕"/>
                <w:b w:val="0"/>
                <w:i w:val="0"/>
                <w:sz w:val="18"/>
              </w:rPr>
              <w:t>TempoRL</w:t>
            </w:r>
            <w:r>
              <w:rPr>
                <w:rFonts w:ascii="바탕" w:hAnsi="바탕" w:eastAsia="바탕"/>
                <w:b w:val="0"/>
                <w:i w:val="0"/>
                <w:sz w:val="18"/>
                <w:vertAlign w:val="superscript"/>
              </w:rPr>
              <w:t>[1]</w:t>
            </w:r>
          </w:p>
        </w:tc>
        <w:tc>
          <w:tcPr>
            <w:tcW w:type="dxa" w:w="2268"/>
          </w:tcPr>
          <w:p>
            <w:pPr>
              <w:spacing w:line="240" w:lineRule="auto"/>
              <w:jc w:val="center"/>
            </w:pPr>
            <w:r>
              <w:rPr>
                <w:rFonts w:ascii="바탕" w:hAnsi="바탕" w:eastAsia="바탕"/>
                <w:b w:val="0"/>
                <w:i w:val="0"/>
                <w:sz w:val="18"/>
              </w:rPr>
              <w:t>○ (지속 길이 학습)</w:t>
            </w:r>
          </w:p>
        </w:tc>
        <w:tc>
          <w:tcPr>
            <w:tcW w:type="dxa" w:w="2268"/>
          </w:tcPr>
          <w:p>
            <w:pPr>
              <w:spacing w:line="240" w:lineRule="auto"/>
              <w:jc w:val="center"/>
            </w:pPr>
            <w:r>
              <w:rPr>
                <w:rFonts w:ascii="바탕" w:hAnsi="바탕" w:eastAsia="바탕"/>
                <w:b w:val="0"/>
                <w:i w:val="0"/>
                <w:sz w:val="18"/>
              </w:rPr>
              <w:t>✕ (비용 개념 없음)</w:t>
            </w:r>
          </w:p>
        </w:tc>
        <w:tc>
          <w:tcPr>
            <w:tcW w:type="dxa" w:w="2268"/>
          </w:tcPr>
          <w:p>
            <w:pPr>
              <w:spacing w:line="240" w:lineRule="auto"/>
              <w:jc w:val="center"/>
            </w:pPr>
            <w:r>
              <w:rPr>
                <w:rFonts w:ascii="바탕" w:hAnsi="바탕" w:eastAsia="바탕"/>
                <w:b w:val="0"/>
                <w:i w:val="0"/>
                <w:sz w:val="18"/>
              </w:rPr>
              <w:t>✕</w:t>
            </w:r>
          </w:p>
        </w:tc>
      </w:tr>
      <w:tr>
        <w:tc>
          <w:tcPr>
            <w:tcW w:type="dxa" w:w="2268"/>
          </w:tcPr>
          <w:p>
            <w:pPr>
              <w:spacing w:line="240" w:lineRule="auto"/>
              <w:jc w:val="left"/>
            </w:pPr>
            <w:r>
              <w:rPr>
                <w:rFonts w:ascii="바탕" w:hAnsi="바탕" w:eastAsia="바탕"/>
                <w:b w:val="0"/>
                <w:i w:val="0"/>
                <w:sz w:val="18"/>
              </w:rPr>
              <w:t>Lazy-MDP</w:t>
            </w:r>
            <w:r>
              <w:rPr>
                <w:rFonts w:ascii="바탕" w:hAnsi="바탕" w:eastAsia="바탕"/>
                <w:b w:val="0"/>
                <w:i w:val="0"/>
                <w:sz w:val="18"/>
                <w:vertAlign w:val="superscript"/>
              </w:rPr>
              <w:t>[2]</w:t>
            </w:r>
          </w:p>
        </w:tc>
        <w:tc>
          <w:tcPr>
            <w:tcW w:type="dxa" w:w="2268"/>
          </w:tcPr>
          <w:p>
            <w:pPr>
              <w:spacing w:line="240" w:lineRule="auto"/>
              <w:jc w:val="center"/>
            </w:pPr>
            <w:r>
              <w:rPr>
                <w:rFonts w:ascii="바탕" w:hAnsi="바탕" w:eastAsia="바탕"/>
                <w:b w:val="0"/>
                <w:i w:val="0"/>
                <w:sz w:val="18"/>
              </w:rPr>
              <w:t>○ (개입 선택)</w:t>
            </w:r>
          </w:p>
        </w:tc>
        <w:tc>
          <w:tcPr>
            <w:tcW w:type="dxa" w:w="2268"/>
          </w:tcPr>
          <w:p>
            <w:pPr>
              <w:spacing w:line="240" w:lineRule="auto"/>
              <w:jc w:val="center"/>
            </w:pPr>
            <w:r>
              <w:rPr>
                <w:rFonts w:ascii="바탕" w:hAnsi="바탕" w:eastAsia="바탕"/>
                <w:b w:val="0"/>
                <w:i w:val="0"/>
                <w:sz w:val="18"/>
              </w:rPr>
              <w:t>△ (η는 개입 벌점, 환경 보상은 그대로)</w:t>
            </w:r>
          </w:p>
        </w:tc>
        <w:tc>
          <w:tcPr>
            <w:tcW w:type="dxa" w:w="2268"/>
          </w:tcPr>
          <w:p>
            <w:pPr>
              <w:spacing w:line="240" w:lineRule="auto"/>
              <w:jc w:val="center"/>
            </w:pPr>
            <w:r>
              <w:rPr>
                <w:rFonts w:ascii="바탕" w:hAnsi="바탕" w:eastAsia="바탕"/>
                <w:b w:val="0"/>
                <w:i w:val="0"/>
                <w:sz w:val="18"/>
              </w:rPr>
              <w:t>△ (기본 정책이 있으나 우열 비교가 목적은 아님)</w:t>
            </w:r>
          </w:p>
        </w:tc>
      </w:tr>
      <w:tr>
        <w:tc>
          <w:tcPr>
            <w:tcW w:type="dxa" w:w="2268"/>
          </w:tcPr>
          <w:p>
            <w:pPr>
              <w:spacing w:line="240" w:lineRule="auto"/>
              <w:jc w:val="left"/>
            </w:pPr>
            <w:r>
              <w:rPr>
                <w:rFonts w:ascii="바탕" w:hAnsi="바탕" w:eastAsia="바탕"/>
                <w:b w:val="0"/>
                <w:i w:val="0"/>
                <w:sz w:val="18"/>
              </w:rPr>
              <w:t>평가 프로토콜</w:t>
            </w:r>
            <w:r>
              <w:rPr>
                <w:rFonts w:ascii="바탕" w:hAnsi="바탕" w:eastAsia="바탕"/>
                <w:b w:val="0"/>
                <w:i w:val="0"/>
                <w:sz w:val="18"/>
                <w:vertAlign w:val="superscript"/>
              </w:rPr>
              <w:t>[3]</w:t>
            </w:r>
          </w:p>
        </w:tc>
        <w:tc>
          <w:tcPr>
            <w:tcW w:type="dxa" w:w="2268"/>
          </w:tcPr>
          <w:p>
            <w:pPr>
              <w:spacing w:line="240" w:lineRule="auto"/>
              <w:jc w:val="center"/>
            </w:pPr>
            <w:r>
              <w:rPr>
                <w:rFonts w:ascii="바탕" w:hAnsi="바탕" w:eastAsia="바탕"/>
                <w:b w:val="0"/>
                <w:i w:val="0"/>
                <w:sz w:val="18"/>
              </w:rPr>
              <w:t>—</w:t>
            </w:r>
          </w:p>
        </w:tc>
        <w:tc>
          <w:tcPr>
            <w:tcW w:type="dxa" w:w="2268"/>
          </w:tcPr>
          <w:p>
            <w:pPr>
              <w:spacing w:line="240" w:lineRule="auto"/>
              <w:jc w:val="center"/>
            </w:pPr>
            <w:r>
              <w:rPr>
                <w:rFonts w:ascii="바탕" w:hAnsi="바탕" w:eastAsia="바탕"/>
                <w:b w:val="0"/>
                <w:i w:val="0"/>
                <w:sz w:val="18"/>
              </w:rPr>
              <w:t>—</w:t>
            </w:r>
          </w:p>
        </w:tc>
        <w:tc>
          <w:tcPr>
            <w:tcW w:type="dxa" w:w="2268"/>
          </w:tcPr>
          <w:p>
            <w:pPr>
              <w:spacing w:line="240" w:lineRule="auto"/>
              <w:jc w:val="center"/>
            </w:pPr>
            <w:r>
              <w:rPr>
                <w:rFonts w:ascii="바탕" w:hAnsi="바탕" w:eastAsia="바탕"/>
                <w:b w:val="0"/>
                <w:i w:val="0"/>
                <w:sz w:val="18"/>
              </w:rPr>
              <w:t>—</w:t>
            </w:r>
          </w:p>
        </w:tc>
      </w:tr>
      <w:tr>
        <w:tc>
          <w:tcPr>
            <w:tcW w:type="dxa" w:w="2268"/>
          </w:tcPr>
          <w:p>
            <w:pPr>
              <w:spacing w:line="240" w:lineRule="auto"/>
              <w:jc w:val="left"/>
            </w:pPr>
            <w:r>
              <w:rPr>
                <w:rFonts w:ascii="바탕" w:hAnsi="바탕" w:eastAsia="바탕"/>
                <w:b/>
                <w:i w:val="0"/>
                <w:sz w:val="18"/>
              </w:rPr>
              <w:t>이 연구</w:t>
            </w:r>
          </w:p>
        </w:tc>
        <w:tc>
          <w:tcPr>
            <w:tcW w:type="dxa" w:w="2268"/>
          </w:tcPr>
          <w:p>
            <w:pPr>
              <w:spacing w:line="240" w:lineRule="auto"/>
              <w:jc w:val="center"/>
            </w:pPr>
            <w:r>
              <w:rPr>
                <w:rFonts w:ascii="바탕" w:hAnsi="바탕" w:eastAsia="바탕"/>
                <w:b w:val="0"/>
                <w:i w:val="0"/>
                <w:sz w:val="18"/>
              </w:rPr>
              <w:t>○</w:t>
            </w:r>
          </w:p>
        </w:tc>
        <w:tc>
          <w:tcPr>
            <w:tcW w:type="dxa" w:w="2268"/>
          </w:tcPr>
          <w:p>
            <w:pPr>
              <w:spacing w:line="240" w:lineRule="auto"/>
              <w:jc w:val="center"/>
            </w:pPr>
            <w:r>
              <w:rPr>
                <w:rFonts w:ascii="바탕" w:hAnsi="바탕" w:eastAsia="바탕"/>
                <w:b/>
                <w:i w:val="0"/>
                <w:sz w:val="18"/>
              </w:rPr>
              <w:t>○ (λ가 독립 변수)</w:t>
            </w:r>
          </w:p>
        </w:tc>
        <w:tc>
          <w:tcPr>
            <w:tcW w:type="dxa" w:w="2268"/>
          </w:tcPr>
          <w:p>
            <w:pPr>
              <w:spacing w:line="240" w:lineRule="auto"/>
              <w:jc w:val="center"/>
            </w:pPr>
            <w:r>
              <w:rPr>
                <w:rFonts w:ascii="바탕" w:hAnsi="바탕" w:eastAsia="바탕"/>
                <w:b/>
                <w:i w:val="0"/>
                <w:sz w:val="18"/>
              </w:rPr>
              <w:t>○ (λ마다 최고 규칙과 대결)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276" w:lineRule="auto" w:before="200" w:after="40"/>
        <w:jc w:val="center"/>
      </w:pPr>
      <w:r>
        <w:rPr>
          <w:rFonts w:ascii="맑은 고딕" w:hAnsi="맑은 고딕" w:eastAsia="맑은 고딕"/>
          <w:b/>
          <w:i w:val="0"/>
          <w:sz w:val="19"/>
        </w:rPr>
        <w:t>표 8. 실험에 쓴 두 환경</w:t>
      </w:r>
    </w:p>
    <w:p>
      <w:pPr>
        <w:spacing w:line="276" w:lineRule="auto" w:before="0" w:after="60"/>
        <w:jc w:val="center"/>
      </w:pPr>
      <w:r>
        <w:rPr>
          <w:rFonts w:ascii="맑은 고딕" w:hAnsi="맑은 고딕" w:eastAsia="맑은 고딕"/>
          <w:b w:val="0"/>
          <w:i/>
          <w:sz w:val="18"/>
        </w:rPr>
        <w:t>Table 8. The two environments used in the experiments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관측</w:t>
            </w:r>
          </w:p>
        </w:tc>
        <w:tc>
          <w:tcPr>
            <w:tcW w:type="dxa" w:w="1512"/>
            <w:shd w:val="clear" w:color="auto" w:fill="EDEDED"/>
          </w:tcPr>
          <w:p>
            <w:pPr>
              <w:spacing w:line="240" w:lineRule="auto"/>
              <w:jc w:val="center"/>
            </w:pPr>
            <w:r/>
            <w:r>
              <w:rPr>
                <w:rFonts w:ascii="맑은 고딕" w:hAnsi="맑은 고딕" w:eastAsia="맑은 고딕"/>
                <w:b/>
                <w:i w:val="0"/>
                <w:sz w:val="18"/>
              </w:rPr>
              <w:t>행동</w:t>
            </w:r>
          </w:p>
        </w:tc>
        <w:tc>
          <w:tcPr>
            <w:tcW w:type="dxa" w:w="1512"/>
            <w:shd w:val="clear" w:color="auto" w:fill="EDEDED"/>
          </w:tcPr>
          <w:p>
            <w:pPr>
              <w:spacing w:line="240" w:lineRule="auto"/>
              <w:jc w:val="center"/>
            </w:pPr>
            <w:r/>
            <w:r>
              <w:rPr>
                <w:rFonts w:ascii="맑은 고딕" w:hAnsi="맑은 고딕" w:eastAsia="맑은 고딕"/>
                <w:b/>
                <w:i w:val="0"/>
                <w:sz w:val="18"/>
              </w:rPr>
              <w:t>no-op</w:t>
            </w:r>
          </w:p>
        </w:tc>
        <w:tc>
          <w:tcPr>
            <w:tcW w:type="dxa" w:w="1512"/>
            <w:shd w:val="clear" w:color="auto" w:fill="EDEDED"/>
          </w:tcPr>
          <w:p>
            <w:pPr>
              <w:spacing w:line="240" w:lineRule="auto"/>
              <w:jc w:val="center"/>
            </w:pPr>
            <w:r/>
            <w:r>
              <w:rPr>
                <w:rFonts w:ascii="맑은 고딕" w:hAnsi="맑은 고딕" w:eastAsia="맑은 고딕"/>
                <w:b/>
                <w:i w:val="0"/>
                <w:sz w:val="18"/>
              </w:rPr>
              <w:t>시간제한</w:t>
            </w:r>
          </w:p>
        </w:tc>
        <w:tc>
          <w:tcPr>
            <w:tcW w:type="dxa" w:w="1512"/>
            <w:shd w:val="clear" w:color="auto" w:fill="EDEDED"/>
          </w:tcPr>
          <w:p>
            <w:pPr>
              <w:spacing w:line="240" w:lineRule="auto"/>
              <w:jc w:val="center"/>
            </w:pPr>
            <w:r/>
            <w:r>
              <w:rPr>
                <w:rFonts w:ascii="맑은 고딕" w:hAnsi="맑은 고딕" w:eastAsia="맑은 고딕"/>
                <w:b/>
                <w:i w:val="0"/>
                <w:sz w:val="18"/>
              </w:rPr>
              <w:t>비고</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2차원 (위치, 속도)</w:t>
            </w:r>
          </w:p>
        </w:tc>
        <w:tc>
          <w:tcPr>
            <w:tcW w:type="dxa" w:w="1512"/>
          </w:tcPr>
          <w:p>
            <w:pPr>
              <w:spacing w:line="240" w:lineRule="auto"/>
              <w:jc w:val="center"/>
            </w:pPr>
            <w:r>
              <w:rPr>
                <w:rFonts w:ascii="바탕" w:hAnsi="바탕" w:eastAsia="바탕"/>
                <w:b w:val="0"/>
                <w:i w:val="0"/>
                <w:sz w:val="18"/>
              </w:rPr>
              <w:t>3 (좌·무·우)</w:t>
            </w:r>
          </w:p>
        </w:tc>
        <w:tc>
          <w:tcPr>
            <w:tcW w:type="dxa" w:w="1512"/>
          </w:tcPr>
          <w:p>
            <w:pPr>
              <w:spacing w:line="240" w:lineRule="auto"/>
              <w:jc w:val="center"/>
            </w:pPr>
            <w:r>
              <w:rPr>
                <w:rFonts w:ascii="바탕" w:hAnsi="바탕" w:eastAsia="바탕"/>
                <w:b w:val="0"/>
                <w:i w:val="0"/>
                <w:sz w:val="18"/>
              </w:rPr>
              <w:t>1</w:t>
            </w:r>
          </w:p>
        </w:tc>
        <w:tc>
          <w:tcPr>
            <w:tcW w:type="dxa" w:w="1512"/>
          </w:tcPr>
          <w:p>
            <w:pPr>
              <w:spacing w:line="240" w:lineRule="auto"/>
              <w:jc w:val="center"/>
            </w:pPr>
            <w:r>
              <w:rPr>
                <w:rFonts w:ascii="바탕" w:hAnsi="바탕" w:eastAsia="바탕"/>
                <w:b w:val="0"/>
                <w:i w:val="0"/>
                <w:sz w:val="18"/>
              </w:rPr>
              <w:t>200스텝</w:t>
            </w:r>
          </w:p>
        </w:tc>
        <w:tc>
          <w:tcPr>
            <w:tcW w:type="dxa" w:w="1512"/>
          </w:tcPr>
          <w:p>
            <w:pPr>
              <w:spacing w:line="240" w:lineRule="auto"/>
              <w:jc w:val="center"/>
            </w:pPr>
            <w:r>
              <w:rPr>
                <w:rFonts w:ascii="바탕" w:hAnsi="바탕" w:eastAsia="바탕"/>
                <w:b w:val="0"/>
                <w:i w:val="0"/>
                <w:sz w:val="18"/>
              </w:rPr>
              <w:t>보상이 희소한 탐험 문제</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8차원</w:t>
            </w:r>
          </w:p>
        </w:tc>
        <w:tc>
          <w:tcPr>
            <w:tcW w:type="dxa" w:w="1512"/>
          </w:tcPr>
          <w:p>
            <w:pPr>
              <w:spacing w:line="240" w:lineRule="auto"/>
              <w:jc w:val="center"/>
            </w:pPr>
            <w:r>
              <w:rPr>
                <w:rFonts w:ascii="바탕" w:hAnsi="바탕" w:eastAsia="바탕"/>
                <w:b w:val="0"/>
                <w:i w:val="0"/>
                <w:sz w:val="18"/>
              </w:rPr>
              <w:t>4 (무·좌·주·우 엔진)</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1000스텝</w:t>
            </w:r>
          </w:p>
        </w:tc>
        <w:tc>
          <w:tcPr>
            <w:tcW w:type="dxa" w:w="1512"/>
          </w:tcPr>
          <w:p>
            <w:pPr>
              <w:spacing w:line="240" w:lineRule="auto"/>
              <w:jc w:val="center"/>
            </w:pPr>
            <w:r>
              <w:rPr>
                <w:rFonts w:ascii="바탕" w:hAnsi="바탕" w:eastAsia="바탕"/>
                <w:b w:val="0"/>
                <w:i w:val="0"/>
                <w:sz w:val="18"/>
              </w:rPr>
              <w:t>보상이 조밀한 제어 문제</w:t>
            </w:r>
          </w:p>
        </w:tc>
      </w:tr>
    </w:tbl>
    <w:p>
      <w:pPr>
        <w:spacing w:line="240" w:lineRule="auto" w:before="0" w:after="120"/>
        <w:jc w:val="both"/>
      </w:pPr>
    </w:p>
    <w:p>
      <w:pPr>
        <w:spacing w:line="480" w:lineRule="auto" w:before="0" w:after="0"/>
        <w:ind w:firstLine="200"/>
        <w:jc w:val="both"/>
      </w:pP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276" w:lineRule="auto" w:before="200" w:after="40"/>
        <w:jc w:val="center"/>
      </w:pPr>
      <w:r>
        <w:rPr>
          <w:rFonts w:ascii="맑은 고딕" w:hAnsi="맑은 고딕" w:eastAsia="맑은 고딕"/>
          <w:b/>
          <w:i w:val="0"/>
          <w:sz w:val="19"/>
        </w:rPr>
        <w:t>표 9. MountainCar에서 무작위 탐험의 목표 도달률</w:t>
      </w:r>
    </w:p>
    <w:p>
      <w:pPr>
        <w:spacing w:line="276" w:lineRule="auto" w:before="0" w:after="60"/>
        <w:jc w:val="center"/>
      </w:pPr>
      <w:r>
        <w:rPr>
          <w:rFonts w:ascii="맑은 고딕" w:hAnsi="맑은 고딕" w:eastAsia="맑은 고딕"/>
          <w:b w:val="0"/>
          <w:i/>
          <w:sz w:val="18"/>
        </w:rPr>
        <w:t>Table 9. Goal-reaching rate of random exploration on MountainCar</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DEDED"/>
          </w:tcPr>
          <w:p>
            <w:pPr>
              <w:spacing w:line="240" w:lineRule="auto"/>
              <w:jc w:val="center"/>
            </w:pPr>
            <w:r/>
            <w:r>
              <w:rPr>
                <w:rFonts w:ascii="맑은 고딕" w:hAnsi="맑은 고딕" w:eastAsia="맑은 고딕"/>
                <w:b/>
                <w:i w:val="0"/>
                <w:sz w:val="18"/>
              </w:rPr>
              <w:t>조건 (200스텝 제한)</w:t>
            </w:r>
          </w:p>
        </w:tc>
        <w:tc>
          <w:tcPr>
            <w:tcW w:type="dxa" w:w="4536"/>
            <w:shd w:val="clear" w:color="auto" w:fill="EDEDED"/>
          </w:tcPr>
          <w:p>
            <w:pPr>
              <w:spacing w:line="240" w:lineRule="auto"/>
              <w:jc w:val="center"/>
            </w:pPr>
            <w:r/>
            <w:r>
              <w:rPr>
                <w:rFonts w:ascii="맑은 고딕" w:hAnsi="맑은 고딕" w:eastAsia="맑은 고딕"/>
                <w:b/>
                <w:i w:val="0"/>
                <w:sz w:val="18"/>
              </w:rPr>
              <w:t>목표 도달률</w:t>
            </w:r>
          </w:p>
        </w:tc>
      </w:tr>
      <w:tr>
        <w:tc>
          <w:tcPr>
            <w:tcW w:type="dxa" w:w="4536"/>
          </w:tcPr>
          <w:p>
            <w:pPr>
              <w:spacing w:line="240" w:lineRule="auto"/>
              <w:jc w:val="left"/>
            </w:pPr>
            <w:r>
              <w:rPr>
                <w:rFonts w:ascii="바탕" w:hAnsi="바탕" w:eastAsia="바탕"/>
                <w:b w:val="0"/>
                <w:i w:val="0"/>
                <w:sz w:val="18"/>
              </w:rPr>
              <w:t>매 스텝 새 행동 (표준 ε-greedy 탐험)</w:t>
            </w:r>
          </w:p>
        </w:tc>
        <w:tc>
          <w:tcPr>
            <w:tcW w:type="dxa" w:w="4536"/>
          </w:tcPr>
          <w:p>
            <w:pPr>
              <w:spacing w:line="240" w:lineRule="auto"/>
              <w:jc w:val="center"/>
            </w:pPr>
            <w:r>
              <w:rPr>
                <w:rFonts w:ascii="바탕" w:hAnsi="바탕" w:eastAsia="바탕"/>
                <w:b/>
                <w:i w:val="0"/>
                <w:sz w:val="18"/>
              </w:rPr>
              <w:t>0.0%</w:t>
            </w:r>
            <w:r>
              <w:rPr>
                <w:rFonts w:ascii="바탕" w:hAnsi="바탕" w:eastAsia="바탕"/>
                <w:b w:val="0"/>
                <w:i w:val="0"/>
                <w:sz w:val="18"/>
              </w:rPr>
              <w:t xml:space="preserve"> (500 에피소드)</w:t>
            </w:r>
          </w:p>
        </w:tc>
      </w:tr>
      <w:tr>
        <w:tc>
          <w:tcPr>
            <w:tcW w:type="dxa" w:w="4536"/>
          </w:tcPr>
          <w:p>
            <w:pPr>
              <w:spacing w:line="240" w:lineRule="auto"/>
              <w:jc w:val="left"/>
            </w:pPr>
            <w:r>
              <w:rPr>
                <w:rFonts w:ascii="바탕" w:hAnsi="바탕" w:eastAsia="바탕"/>
                <w:b w:val="0"/>
                <w:i w:val="0"/>
                <w:sz w:val="18"/>
              </w:rPr>
              <w:t>같은 행동 4스텝 유지</w:t>
            </w:r>
          </w:p>
        </w:tc>
        <w:tc>
          <w:tcPr>
            <w:tcW w:type="dxa" w:w="4536"/>
          </w:tcPr>
          <w:p>
            <w:pPr>
              <w:spacing w:line="240" w:lineRule="auto"/>
              <w:jc w:val="center"/>
            </w:pPr>
            <w:r>
              <w:rPr>
                <w:rFonts w:ascii="바탕" w:hAnsi="바탕" w:eastAsia="바탕"/>
                <w:b w:val="0"/>
                <w:i w:val="0"/>
                <w:sz w:val="18"/>
              </w:rPr>
              <w:t>0.2%</w:t>
            </w:r>
          </w:p>
        </w:tc>
      </w:tr>
      <w:tr>
        <w:tc>
          <w:tcPr>
            <w:tcW w:type="dxa" w:w="4536"/>
          </w:tcPr>
          <w:p>
            <w:pPr>
              <w:spacing w:line="240" w:lineRule="auto"/>
              <w:jc w:val="left"/>
            </w:pPr>
            <w:r>
              <w:rPr>
                <w:rFonts w:ascii="바탕" w:hAnsi="바탕" w:eastAsia="바탕"/>
                <w:b w:val="0"/>
                <w:i w:val="0"/>
                <w:sz w:val="18"/>
              </w:rPr>
              <w:t>같은 행동 8스텝 유지</w:t>
            </w:r>
          </w:p>
        </w:tc>
        <w:tc>
          <w:tcPr>
            <w:tcW w:type="dxa" w:w="4536"/>
          </w:tcPr>
          <w:p>
            <w:pPr>
              <w:spacing w:line="240" w:lineRule="auto"/>
              <w:jc w:val="center"/>
            </w:pPr>
            <w:r>
              <w:rPr>
                <w:rFonts w:ascii="바탕" w:hAnsi="바탕" w:eastAsia="바탕"/>
                <w:b w:val="0"/>
                <w:i w:val="0"/>
                <w:sz w:val="18"/>
              </w:rPr>
              <w:t>1.6%</w:t>
            </w:r>
          </w:p>
        </w:tc>
      </w:tr>
      <w:tr>
        <w:tc>
          <w:tcPr>
            <w:tcW w:type="dxa" w:w="4536"/>
          </w:tcPr>
          <w:p>
            <w:pPr>
              <w:spacing w:line="240" w:lineRule="auto"/>
              <w:jc w:val="left"/>
            </w:pPr>
            <w:r>
              <w:rPr>
                <w:rFonts w:ascii="바탕" w:hAnsi="바탕" w:eastAsia="바탕"/>
                <w:b w:val="0"/>
                <w:i w:val="0"/>
                <w:sz w:val="18"/>
              </w:rPr>
              <w:t>같은 행동 16스텝 유지</w:t>
            </w:r>
          </w:p>
        </w:tc>
        <w:tc>
          <w:tcPr>
            <w:tcW w:type="dxa" w:w="4536"/>
          </w:tcPr>
          <w:p>
            <w:pPr>
              <w:spacing w:line="240" w:lineRule="auto"/>
              <w:jc w:val="center"/>
            </w:pPr>
            <w:r>
              <w:rPr>
                <w:rFonts w:ascii="바탕" w:hAnsi="바탕" w:eastAsia="바탕"/>
                <w:b w:val="0"/>
                <w:i w:val="0"/>
                <w:sz w:val="18"/>
              </w:rPr>
              <w:t>9.8%</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276" w:lineRule="auto" w:before="200" w:after="40"/>
        <w:jc w:val="center"/>
      </w:pPr>
      <w:r>
        <w:rPr>
          <w:rFonts w:ascii="맑은 고딕" w:hAnsi="맑은 고딕" w:eastAsia="맑은 고딕"/>
          <w:b/>
          <w:i w:val="0"/>
          <w:sz w:val="19"/>
        </w:rPr>
        <w:t>표 10. 학습하지 않는 고정 규칙 기준선</w:t>
      </w:r>
    </w:p>
    <w:p>
      <w:pPr>
        <w:spacing w:line="276" w:lineRule="auto" w:before="0" w:after="60"/>
        <w:jc w:val="center"/>
      </w:pPr>
      <w:r>
        <w:rPr>
          <w:rFonts w:ascii="맑은 고딕" w:hAnsi="맑은 고딕" w:eastAsia="맑은 고딕"/>
          <w:b w:val="0"/>
          <w:i/>
          <w:sz w:val="18"/>
        </w:rPr>
        <w:t>Table 10. Fixed-rule baselines without learning</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DEDED"/>
          </w:tcPr>
          <w:p>
            <w:pPr>
              <w:spacing w:line="240" w:lineRule="auto"/>
              <w:jc w:val="center"/>
            </w:pPr>
            <w:r/>
            <w:r>
              <w:rPr>
                <w:rFonts w:ascii="맑은 고딕" w:hAnsi="맑은 고딕" w:eastAsia="맑은 고딕"/>
                <w:b/>
                <w:i w:val="0"/>
                <w:sz w:val="18"/>
              </w:rPr>
              <w:t>규칙</w:t>
            </w:r>
          </w:p>
        </w:tc>
        <w:tc>
          <w:tcPr>
            <w:tcW w:type="dxa" w:w="4536"/>
            <w:shd w:val="clear" w:color="auto" w:fill="EDEDED"/>
          </w:tcPr>
          <w:p>
            <w:pPr>
              <w:spacing w:line="240" w:lineRule="auto"/>
              <w:jc w:val="center"/>
            </w:pPr>
            <w:r/>
            <w:r>
              <w:rPr>
                <w:rFonts w:ascii="맑은 고딕" w:hAnsi="맑은 고딕" w:eastAsia="맑은 고딕"/>
                <w:b/>
                <w:i w:val="0"/>
                <w:sz w:val="18"/>
              </w:rPr>
              <w:t>내용</w:t>
            </w:r>
          </w:p>
        </w:tc>
      </w:tr>
      <w:tr>
        <w:tc>
          <w:tcPr>
            <w:tcW w:type="dxa" w:w="4536"/>
          </w:tcPr>
          <w:p>
            <w:pPr>
              <w:spacing w:line="240" w:lineRule="auto"/>
              <w:jc w:val="left"/>
            </w:pPr>
            <w:r>
              <w:rPr>
                <w:rFonts w:ascii="바탕" w:hAnsi="바탕" w:eastAsia="바탕"/>
                <w:b w:val="0"/>
                <w:i w:val="0"/>
                <w:sz w:val="18"/>
              </w:rPr>
              <w:t>무행동</w:t>
            </w:r>
          </w:p>
        </w:tc>
        <w:tc>
          <w:tcPr>
            <w:tcW w:type="dxa" w:w="4536"/>
          </w:tcPr>
          <w:p>
            <w:pPr>
              <w:spacing w:line="240" w:lineRule="auto"/>
              <w:jc w:val="center"/>
            </w:pPr>
            <w:r>
              <w:rPr>
                <w:rFonts w:ascii="바탕" w:hAnsi="바탕" w:eastAsia="바탕"/>
                <w:b w:val="0"/>
                <w:i w:val="0"/>
                <w:sz w:val="18"/>
              </w:rPr>
              <w:t>항상 no-op. λ가 충분히 크면 이것이 최적이 된다 (실험의 한쪽 끝)</w:t>
            </w:r>
          </w:p>
        </w:tc>
      </w:tr>
      <w:tr>
        <w:tc>
          <w:tcPr>
            <w:tcW w:type="dxa" w:w="4536"/>
          </w:tcPr>
          <w:p>
            <w:pPr>
              <w:spacing w:line="240" w:lineRule="auto"/>
              <w:jc w:val="left"/>
            </w:pPr>
            <w:r>
              <w:rPr>
                <w:rFonts w:ascii="바탕" w:hAnsi="바탕" w:eastAsia="바탕"/>
                <w:b w:val="0"/>
                <w:i w:val="0"/>
                <w:sz w:val="18"/>
              </w:rPr>
              <w:t>k스텝 주기</w:t>
            </w:r>
          </w:p>
        </w:tc>
        <w:tc>
          <w:tcPr>
            <w:tcW w:type="dxa" w:w="4536"/>
          </w:tcPr>
          <w:p>
            <w:pPr>
              <w:spacing w:line="240" w:lineRule="auto"/>
              <w:jc w:val="center"/>
            </w:pPr>
            <w:r>
              <w:rPr>
                <w:rFonts w:ascii="바탕" w:hAnsi="바탕" w:eastAsia="바탕"/>
                <w:b w:val="0"/>
                <w:i w:val="0"/>
                <w:sz w:val="18"/>
              </w:rPr>
              <w:t>k스텝마다 1번 기저 행동, 나머지는 no-op (k ∈ {1,2,4,8})</w:t>
            </w:r>
          </w:p>
        </w:tc>
      </w:tr>
      <w:tr>
        <w:tc>
          <w:tcPr>
            <w:tcW w:type="dxa" w:w="4536"/>
          </w:tcPr>
          <w:p>
            <w:pPr>
              <w:spacing w:line="240" w:lineRule="auto"/>
              <w:jc w:val="left"/>
            </w:pPr>
            <w:r>
              <w:rPr>
                <w:rFonts w:ascii="바탕" w:hAnsi="바탕" w:eastAsia="바탕"/>
                <w:b w:val="0"/>
                <w:i w:val="0"/>
                <w:sz w:val="18"/>
              </w:rPr>
              <w:t>임계값 규칙 (MountainCar, "pump")</w:t>
            </w:r>
          </w:p>
        </w:tc>
        <w:tc>
          <w:tcPr>
            <w:tcW w:type="dxa" w:w="4536"/>
          </w:tcPr>
          <w:p>
            <w:pPr>
              <w:spacing w:line="240" w:lineRule="auto"/>
              <w:jc w:val="center"/>
            </w:pPr>
            <w:r>
              <w:rPr>
                <w:rFonts w:ascii="바탕" w:hAnsi="바탕" w:eastAsia="바탕"/>
                <w:b w:val="0"/>
                <w:i w:val="0"/>
                <w:sz w:val="18"/>
              </w:rPr>
              <w:t>속도가 +면 오른쪽, −면 왼쪽으로 가속 — 그네 굴리기</w:t>
            </w:r>
          </w:p>
        </w:tc>
      </w:tr>
      <w:tr>
        <w:tc>
          <w:tcPr>
            <w:tcW w:type="dxa" w:w="4536"/>
          </w:tcPr>
          <w:p>
            <w:pPr>
              <w:spacing w:line="240" w:lineRule="auto"/>
              <w:jc w:val="left"/>
            </w:pPr>
            <w:r>
              <w:rPr>
                <w:rFonts w:ascii="바탕" w:hAnsi="바탕" w:eastAsia="바탕"/>
                <w:b w:val="0"/>
                <w:i w:val="0"/>
                <w:sz w:val="18"/>
              </w:rPr>
              <w:t>임계값 규칙 (LunarLander)</w:t>
            </w:r>
          </w:p>
        </w:tc>
        <w:tc>
          <w:tcPr>
            <w:tcW w:type="dxa" w:w="4536"/>
          </w:tcPr>
          <w:p>
            <w:pPr>
              <w:spacing w:line="240" w:lineRule="auto"/>
              <w:jc w:val="center"/>
            </w:pPr>
            <w:r>
              <w:rPr>
                <w:rFonts w:ascii="바탕" w:hAnsi="바탕" w:eastAsia="바탕"/>
                <w:b w:val="0"/>
                <w:i w:val="0"/>
                <w:sz w:val="18"/>
              </w:rPr>
              <w:t>자세 오차가 임계값을 넘으면 옆엔진, 낙하 속도가 임계값을 넘으면 주엔진, 그 외 무행동</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276" w:lineRule="auto" w:before="200" w:after="40"/>
        <w:jc w:val="center"/>
      </w:pPr>
      <w:r>
        <w:rPr>
          <w:rFonts w:ascii="맑은 고딕" w:hAnsi="맑은 고딕" w:eastAsia="맑은 고딕"/>
          <w:b/>
          <w:i w:val="0"/>
          <w:sz w:val="19"/>
        </w:rPr>
        <w:t>표 11. 세 학습 계열에 동일하게 적용한 하이퍼파라미터</w:t>
      </w:r>
    </w:p>
    <w:p>
      <w:pPr>
        <w:spacing w:line="276" w:lineRule="auto" w:before="0" w:after="60"/>
        <w:jc w:val="center"/>
      </w:pPr>
      <w:r>
        <w:rPr>
          <w:rFonts w:ascii="맑은 고딕" w:hAnsi="맑은 고딕" w:eastAsia="맑은 고딕"/>
          <w:b w:val="0"/>
          <w:i/>
          <w:sz w:val="18"/>
        </w:rPr>
        <w:t>Table 11. Hyperparameters shared identically by the three learning families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DEDED"/>
          </w:tcPr>
          <w:p>
            <w:pPr>
              <w:spacing w:line="240" w:lineRule="auto"/>
              <w:jc w:val="center"/>
            </w:pPr>
            <w:r/>
            <w:r>
              <w:rPr>
                <w:rFonts w:ascii="맑은 고딕" w:hAnsi="맑은 고딕" w:eastAsia="맑은 고딕"/>
                <w:b/>
                <w:i w:val="0"/>
                <w:sz w:val="18"/>
              </w:rPr>
              <w:t>항목</w:t>
            </w:r>
          </w:p>
        </w:tc>
        <w:tc>
          <w:tcPr>
            <w:tcW w:type="dxa" w:w="3024"/>
            <w:shd w:val="clear" w:color="auto" w:fill="EDEDED"/>
          </w:tcPr>
          <w:p>
            <w:pPr>
              <w:spacing w:line="240" w:lineRule="auto"/>
              <w:jc w:val="center"/>
            </w:pPr>
            <w:r/>
            <w:r>
              <w:rPr>
                <w:rFonts w:ascii="맑은 고딕" w:hAnsi="맑은 고딕" w:eastAsia="맑은 고딕"/>
                <w:b/>
                <w:i w:val="0"/>
                <w:sz w:val="18"/>
              </w:rPr>
              <w:t>값</w:t>
            </w:r>
          </w:p>
        </w:tc>
        <w:tc>
          <w:tcPr>
            <w:tcW w:type="dxa" w:w="3024"/>
            <w:shd w:val="clear" w:color="auto" w:fill="EDEDED"/>
          </w:tcPr>
          <w:p>
            <w:pPr>
              <w:spacing w:line="240" w:lineRule="auto"/>
              <w:jc w:val="center"/>
            </w:pPr>
            <w:r/>
            <w:r>
              <w:rPr>
                <w:rFonts w:ascii="맑은 고딕" w:hAnsi="맑은 고딕" w:eastAsia="맑은 고딕"/>
                <w:b/>
                <w:i w:val="0"/>
                <w:sz w:val="18"/>
              </w:rPr>
              <w:t>근거</w:t>
            </w:r>
          </w:p>
        </w:tc>
      </w:tr>
      <w:tr>
        <w:tc>
          <w:tcPr>
            <w:tcW w:type="dxa" w:w="3024"/>
          </w:tcPr>
          <w:p>
            <w:pPr>
              <w:spacing w:line="240" w:lineRule="auto"/>
              <w:jc w:val="left"/>
            </w:pPr>
            <w:r>
              <w:rPr>
                <w:rFonts w:ascii="바탕" w:hAnsi="바탕" w:eastAsia="바탕"/>
                <w:b w:val="0"/>
                <w:i w:val="0"/>
                <w:sz w:val="18"/>
              </w:rPr>
              <w:t>신경망</w:t>
            </w:r>
          </w:p>
        </w:tc>
        <w:tc>
          <w:tcPr>
            <w:tcW w:type="dxa" w:w="3024"/>
          </w:tcPr>
          <w:p>
            <w:pPr>
              <w:spacing w:line="240" w:lineRule="auto"/>
              <w:jc w:val="center"/>
            </w:pPr>
            <w:r>
              <w:rPr>
                <w:rFonts w:ascii="바탕" w:hAnsi="바탕" w:eastAsia="바탕"/>
                <w:b w:val="0"/>
                <w:i w:val="0"/>
                <w:sz w:val="18"/>
              </w:rPr>
              <w:t>은닉층 50 × 50, ReLU</w:t>
            </w:r>
          </w:p>
        </w:tc>
        <w:tc>
          <w:tcPr>
            <w:tcW w:type="dxa" w:w="3024"/>
          </w:tcPr>
          <w:p>
            <w:pPr>
              <w:spacing w:line="240" w:lineRule="auto"/>
              <w:jc w:val="center"/>
            </w:pPr>
            <w:r>
              <w:rPr>
                <w:rFonts w:ascii="바탕" w:hAnsi="바탕" w:eastAsia="바탕"/>
                <w:b w:val="0"/>
                <w:i w:val="0"/>
                <w:sz w:val="18"/>
              </w:rPr>
              <w:t>TempoRL 공개 구현 기본값</w:t>
            </w:r>
          </w:p>
        </w:tc>
      </w:tr>
      <w:tr>
        <w:tc>
          <w:tcPr>
            <w:tcW w:type="dxa" w:w="3024"/>
          </w:tcPr>
          <w:p>
            <w:pPr>
              <w:spacing w:line="240" w:lineRule="auto"/>
              <w:jc w:val="left"/>
            </w:pPr>
            <w:r>
              <w:rPr>
                <w:rFonts w:ascii="바탕" w:hAnsi="바탕" w:eastAsia="바탕"/>
                <w:b w:val="0"/>
                <w:i w:val="0"/>
                <w:sz w:val="18"/>
              </w:rPr>
              <w:t>학습률 / 최적화기</w:t>
            </w:r>
          </w:p>
        </w:tc>
        <w:tc>
          <w:tcPr>
            <w:tcW w:type="dxa" w:w="3024"/>
          </w:tcPr>
          <w:p>
            <w:pPr>
              <w:spacing w:line="240" w:lineRule="auto"/>
              <w:jc w:val="center"/>
            </w:pPr>
            <w:r>
              <w:rPr>
                <w:rFonts w:ascii="바탕" w:hAnsi="바탕" w:eastAsia="바탕"/>
                <w:b w:val="0"/>
                <w:i w:val="0"/>
                <w:sz w:val="18"/>
              </w:rPr>
              <w:t>1e-3 / Adam</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할인율 γ</w:t>
            </w:r>
          </w:p>
        </w:tc>
        <w:tc>
          <w:tcPr>
            <w:tcW w:type="dxa" w:w="3024"/>
          </w:tcPr>
          <w:p>
            <w:pPr>
              <w:spacing w:line="240" w:lineRule="auto"/>
              <w:jc w:val="center"/>
            </w:pPr>
            <w:r>
              <w:rPr>
                <w:rFonts w:ascii="바탕" w:hAnsi="바탕" w:eastAsia="바탕"/>
                <w:b w:val="0"/>
                <w:i w:val="0"/>
                <w:sz w:val="18"/>
              </w:rPr>
              <w:t>0.99</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경험 재생 버퍼</w:t>
            </w:r>
          </w:p>
        </w:tc>
        <w:tc>
          <w:tcPr>
            <w:tcW w:type="dxa" w:w="3024"/>
          </w:tcPr>
          <w:p>
            <w:pPr>
              <w:spacing w:line="240" w:lineRule="auto"/>
              <w:jc w:val="center"/>
            </w:pPr>
            <w:r>
              <w:rPr>
                <w:rFonts w:ascii="바탕" w:hAnsi="바탕" w:eastAsia="바탕"/>
                <w:b w:val="0"/>
                <w:i w:val="0"/>
                <w:sz w:val="18"/>
              </w:rPr>
              <w:t>10만</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배치 크기</w:t>
            </w:r>
          </w:p>
        </w:tc>
        <w:tc>
          <w:tcPr>
            <w:tcW w:type="dxa" w:w="3024"/>
          </w:tcPr>
          <w:p>
            <w:pPr>
              <w:spacing w:line="240" w:lineRule="auto"/>
              <w:jc w:val="center"/>
            </w:pPr>
            <w:r>
              <w:rPr>
                <w:rFonts w:ascii="바탕" w:hAnsi="바탕" w:eastAsia="바탕"/>
                <w:b w:val="0"/>
                <w:i w:val="0"/>
                <w:sz w:val="18"/>
              </w:rPr>
              <w:t>64</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목표망 갱신</w:t>
            </w:r>
          </w:p>
        </w:tc>
        <w:tc>
          <w:tcPr>
            <w:tcW w:type="dxa" w:w="3024"/>
          </w:tcPr>
          <w:p>
            <w:pPr>
              <w:spacing w:line="240" w:lineRule="auto"/>
              <w:jc w:val="center"/>
            </w:pPr>
            <w:r>
              <w:rPr>
                <w:rFonts w:ascii="바탕" w:hAnsi="바탕" w:eastAsia="바탕"/>
                <w:b w:val="0"/>
                <w:i w:val="0"/>
                <w:sz w:val="18"/>
              </w:rPr>
              <w:t>500 갱신마다</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Double DQN</w:t>
            </w:r>
          </w:p>
        </w:tc>
        <w:tc>
          <w:tcPr>
            <w:tcW w:type="dxa" w:w="3024"/>
          </w:tcPr>
          <w:p>
            <w:pPr>
              <w:spacing w:line="240" w:lineRule="auto"/>
              <w:jc w:val="center"/>
            </w:pPr>
            <w:r>
              <w:rPr>
                <w:rFonts w:ascii="바탕" w:hAnsi="바탕" w:eastAsia="바탕"/>
                <w:b w:val="0"/>
                <w:i w:val="0"/>
                <w:sz w:val="18"/>
              </w:rPr>
              <w:t>사용</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ε (무작위 행동 확률)</w:t>
            </w:r>
          </w:p>
        </w:tc>
        <w:tc>
          <w:tcPr>
            <w:tcW w:type="dxa" w:w="3024"/>
          </w:tcPr>
          <w:p>
            <w:pPr>
              <w:spacing w:line="240" w:lineRule="auto"/>
              <w:jc w:val="center"/>
            </w:pPr>
            <w:r>
              <w:rPr>
                <w:rFonts w:ascii="바탕" w:hAnsi="바탕" w:eastAsia="바탕"/>
                <w:b/>
                <w:i w:val="0"/>
                <w:sz w:val="18"/>
              </w:rPr>
              <w:t>0.2 고정</w:t>
            </w:r>
            <w:r>
              <w:rPr>
                <w:rFonts w:ascii="바탕" w:hAnsi="바탕" w:eastAsia="바탕"/>
                <w:b w:val="0"/>
                <w:i w:val="0"/>
                <w:sz w:val="18"/>
              </w:rPr>
              <w:t xml:space="preserve"> (감소시키지 않음)</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최대 지속 길이 J (TempoRL)</w:t>
            </w:r>
          </w:p>
        </w:tc>
        <w:tc>
          <w:tcPr>
            <w:tcW w:type="dxa" w:w="3024"/>
          </w:tcPr>
          <w:p>
            <w:pPr>
              <w:spacing w:line="240" w:lineRule="auto"/>
              <w:jc w:val="center"/>
            </w:pPr>
            <w:r>
              <w:rPr>
                <w:rFonts w:ascii="바탕" w:hAnsi="바탕" w:eastAsia="바탕"/>
                <w:b w:val="0"/>
                <w:i w:val="0"/>
                <w:sz w:val="18"/>
              </w:rPr>
              <w:t>10</w:t>
            </w:r>
          </w:p>
        </w:tc>
        <w:tc>
          <w:tcPr>
            <w:tcW w:type="dxa" w:w="3024"/>
          </w:tcPr>
          <w:p>
            <w:pPr>
              <w:spacing w:line="240" w:lineRule="auto"/>
              <w:jc w:val="center"/>
            </w:pPr>
            <w:r>
              <w:rPr>
                <w:rFonts w:ascii="바탕" w:hAnsi="바탕" w:eastAsia="바탕"/>
                <w:b w:val="0"/>
                <w:i w:val="0"/>
                <w:sz w:val="18"/>
              </w:rPr>
              <w:t>〃</w:t>
            </w:r>
          </w:p>
        </w:tc>
      </w:tr>
      <w:tr>
        <w:tc>
          <w:tcPr>
            <w:tcW w:type="dxa" w:w="3024"/>
          </w:tcPr>
          <w:p>
            <w:pPr>
              <w:spacing w:line="240" w:lineRule="auto"/>
              <w:jc w:val="left"/>
            </w:pPr>
            <w:r>
              <w:rPr>
                <w:rFonts w:ascii="바탕" w:hAnsi="바탕" w:eastAsia="바탕"/>
                <w:b w:val="0"/>
                <w:i w:val="0"/>
                <w:sz w:val="18"/>
              </w:rPr>
              <w:t>예산</w:t>
            </w:r>
          </w:p>
        </w:tc>
        <w:tc>
          <w:tcPr>
            <w:tcW w:type="dxa" w:w="3024"/>
          </w:tcPr>
          <w:p>
            <w:pPr>
              <w:spacing w:line="240" w:lineRule="auto"/>
              <w:jc w:val="center"/>
            </w:pPr>
            <w:r>
              <w:rPr>
                <w:rFonts w:ascii="바탕" w:hAnsi="바탕" w:eastAsia="바탕"/>
                <w:b/>
                <w:i w:val="0"/>
                <w:sz w:val="18"/>
              </w:rPr>
              <w:t>환경 스텝 수</w:t>
            </w:r>
            <w:r>
              <w:rPr>
                <w:rFonts w:ascii="바탕" w:hAnsi="바탕" w:eastAsia="바탕"/>
                <w:b w:val="0"/>
                <w:i w:val="0"/>
                <w:sz w:val="18"/>
              </w:rPr>
              <w:t>로 통일 (MountainCar 30만, LunarLander 20만)</w:t>
            </w:r>
          </w:p>
        </w:tc>
        <w:tc>
          <w:tcPr>
            <w:tcW w:type="dxa" w:w="3024"/>
          </w:tcPr>
          <w:p>
            <w:pPr>
              <w:spacing w:line="240" w:lineRule="auto"/>
              <w:jc w:val="center"/>
            </w:pPr>
            <w:r>
              <w:rPr>
                <w:rFonts w:ascii="바탕" w:hAnsi="바탕" w:eastAsia="바탕"/>
                <w:b w:val="0"/>
                <w:i w:val="0"/>
                <w:sz w:val="18"/>
              </w:rPr>
              <w:t>—</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val="0"/>
          <w:i w:val="0"/>
          <w:sz w:val="20"/>
        </w:rPr>
        <w:t>**λ\* = 학습 에이전트가 최고 고정 규칙을 더 이상 이기지 못하게 되는 가장 작은 λ.** 두 가지 엄격도로 함께 보고한다.</w:t>
      </w:r>
    </w:p>
    <w:p>
      <w:pPr>
        <w:spacing w:line="276" w:lineRule="auto" w:before="200" w:after="40"/>
        <w:jc w:val="center"/>
      </w:pPr>
      <w:r>
        <w:rPr>
          <w:rFonts w:ascii="맑은 고딕" w:hAnsi="맑은 고딕" w:eastAsia="맑은 고딕"/>
          <w:b/>
          <w:i w:val="0"/>
          <w:sz w:val="19"/>
        </w:rPr>
        <w:t>표 12. 임계 비용 λ*의 두 가지 판정 기준</w:t>
      </w:r>
    </w:p>
    <w:p>
      <w:pPr>
        <w:spacing w:line="276" w:lineRule="auto" w:before="0" w:after="60"/>
        <w:jc w:val="center"/>
      </w:pPr>
      <w:r>
        <w:rPr>
          <w:rFonts w:ascii="맑은 고딕" w:hAnsi="맑은 고딕" w:eastAsia="맑은 고딕"/>
          <w:b w:val="0"/>
          <w:i/>
          <w:sz w:val="18"/>
        </w:rPr>
        <w:t>Table 12. Two decision criteria for the critical cost λ*</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DEDED"/>
          </w:tcPr>
          <w:p>
            <w:pPr>
              <w:spacing w:line="240" w:lineRule="auto"/>
              <w:jc w:val="center"/>
            </w:pPr>
            <w:r/>
            <w:r>
              <w:rPr>
                <w:rFonts w:ascii="맑은 고딕" w:hAnsi="맑은 고딕" w:eastAsia="맑은 고딕"/>
                <w:b/>
                <w:i w:val="0"/>
                <w:sz w:val="18"/>
              </w:rPr>
              <w:t>기준</w:t>
            </w:r>
          </w:p>
        </w:tc>
        <w:tc>
          <w:tcPr>
            <w:tcW w:type="dxa" w:w="3024"/>
            <w:shd w:val="clear" w:color="auto" w:fill="EDEDED"/>
          </w:tcPr>
          <w:p>
            <w:pPr>
              <w:spacing w:line="240" w:lineRule="auto"/>
              <w:jc w:val="center"/>
            </w:pPr>
            <w:r/>
            <w:r>
              <w:rPr>
                <w:rFonts w:ascii="맑은 고딕" w:hAnsi="맑은 고딕" w:eastAsia="맑은 고딕"/>
                <w:b/>
                <w:i w:val="0"/>
                <w:sz w:val="18"/>
              </w:rPr>
              <w:t>정의</w:t>
            </w:r>
          </w:p>
        </w:tc>
        <w:tc>
          <w:tcPr>
            <w:tcW w:type="dxa" w:w="3024"/>
            <w:shd w:val="clear" w:color="auto" w:fill="EDEDED"/>
          </w:tcPr>
          <w:p>
            <w:pPr>
              <w:spacing w:line="240" w:lineRule="auto"/>
              <w:jc w:val="center"/>
            </w:pPr>
            <w:r/>
            <w:r>
              <w:rPr>
                <w:rFonts w:ascii="맑은 고딕" w:hAnsi="맑은 고딕" w:eastAsia="맑은 고딕"/>
                <w:b/>
                <w:i w:val="0"/>
                <w:sz w:val="18"/>
              </w:rPr>
              <w:t>성격</w:t>
            </w:r>
          </w:p>
        </w:tc>
      </w:tr>
      <w:tr>
        <w:tc>
          <w:tcPr>
            <w:tcW w:type="dxa" w:w="3024"/>
          </w:tcPr>
          <w:p>
            <w:pPr>
              <w:spacing w:line="240" w:lineRule="auto"/>
              <w:jc w:val="left"/>
            </w:pPr>
            <w:r>
              <w:rPr>
                <w:rFonts w:ascii="Consolas" w:hAnsi="Consolas" w:eastAsia="Consolas"/>
                <w:b w:val="0"/>
                <w:i w:val="0"/>
                <w:sz w:val="17"/>
              </w:rPr>
              <w:t>λ*_CI</w:t>
            </w:r>
          </w:p>
        </w:tc>
        <w:tc>
          <w:tcPr>
            <w:tcW w:type="dxa" w:w="3024"/>
          </w:tcPr>
          <w:p>
            <w:pPr>
              <w:spacing w:line="240" w:lineRule="auto"/>
              <w:jc w:val="center"/>
            </w:pPr>
            <w:r>
              <w:rPr>
                <w:rFonts w:ascii="바탕" w:hAnsi="바탕" w:eastAsia="바탕"/>
                <w:b w:val="0"/>
                <w:i w:val="0"/>
                <w:sz w:val="18"/>
              </w:rPr>
              <w:t>학습의 신뢰구간 하한이 규칙의 신뢰구간 상한보다 아래로 처음 내려간 λ</w:t>
            </w:r>
          </w:p>
        </w:tc>
        <w:tc>
          <w:tcPr>
            <w:tcW w:type="dxa" w:w="3024"/>
          </w:tcPr>
          <w:p>
            <w:pPr>
              <w:spacing w:line="240" w:lineRule="auto"/>
              <w:jc w:val="center"/>
            </w:pPr>
            <w:r>
              <w:rPr>
                <w:rFonts w:ascii="바탕" w:hAnsi="바탕" w:eastAsia="바탕"/>
                <w:b w:val="0"/>
                <w:i w:val="0"/>
                <w:sz w:val="18"/>
              </w:rPr>
              <w:t>엄격 — "통계적으로 확실한 우위"가 사라지는 지점</w:t>
            </w:r>
          </w:p>
        </w:tc>
      </w:tr>
      <w:tr>
        <w:tc>
          <w:tcPr>
            <w:tcW w:type="dxa" w:w="3024"/>
          </w:tcPr>
          <w:p>
            <w:pPr>
              <w:spacing w:line="240" w:lineRule="auto"/>
              <w:jc w:val="left"/>
            </w:pPr>
            <w:r>
              <w:rPr>
                <w:rFonts w:ascii="Consolas" w:hAnsi="Consolas" w:eastAsia="Consolas"/>
                <w:b w:val="0"/>
                <w:i w:val="0"/>
                <w:sz w:val="17"/>
              </w:rPr>
              <w:t>λ*_점추정</w:t>
            </w:r>
          </w:p>
        </w:tc>
        <w:tc>
          <w:tcPr>
            <w:tcW w:type="dxa" w:w="3024"/>
          </w:tcPr>
          <w:p>
            <w:pPr>
              <w:spacing w:line="240" w:lineRule="auto"/>
              <w:jc w:val="center"/>
            </w:pPr>
            <w:r>
              <w:rPr>
                <w:rFonts w:ascii="바탕" w:hAnsi="바탕" w:eastAsia="바탕"/>
                <w:b w:val="0"/>
                <w:i w:val="0"/>
                <w:sz w:val="18"/>
              </w:rPr>
              <w:t>학습의 IQM이 규칙의 IQM보다 아래로 처음 내려간 λ</w:t>
            </w:r>
          </w:p>
        </w:tc>
        <w:tc>
          <w:tcPr>
            <w:tcW w:type="dxa" w:w="3024"/>
          </w:tcPr>
          <w:p>
            <w:pPr>
              <w:spacing w:line="240" w:lineRule="auto"/>
              <w:jc w:val="center"/>
            </w:pPr>
            <w:r>
              <w:rPr>
                <w:rFonts w:ascii="바탕" w:hAnsi="바탕" w:eastAsia="바탕"/>
                <w:b w:val="0"/>
                <w:i w:val="0"/>
                <w:sz w:val="18"/>
              </w:rPr>
              <w:t>느슨 — 두 곡선이 교차하는 지점</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4. MountainCar-v0의 비용 반영 총보상 r′ — IQM [95% 신뢰구간]</w:t>
      </w:r>
    </w:p>
    <w:p>
      <w:pPr>
        <w:spacing w:line="276" w:lineRule="auto" w:before="0" w:after="60"/>
        <w:jc w:val="center"/>
      </w:pPr>
      <w:r>
        <w:rPr>
          <w:rFonts w:ascii="맑은 고딕" w:hAnsi="맑은 고딕" w:eastAsia="맑은 고딕"/>
          <w:b w:val="0"/>
          <w:i/>
          <w:sz w:val="18"/>
        </w:rPr>
        <w:t>Table 4.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-142.0]</w:t>
            </w:r>
          </w:p>
        </w:tc>
        <w:tc>
          <w:tcPr>
            <w:tcW w:type="dxa" w:w="1296"/>
          </w:tcPr>
          <w:p>
            <w:pPr>
              <w:spacing w:line="240" w:lineRule="auto"/>
              <w:jc w:val="center"/>
            </w:pPr>
            <w:r>
              <w:rPr>
                <w:rFonts w:ascii="바탕" w:hAnsi="바탕" w:eastAsia="바탕"/>
                <w:b w:val="0"/>
                <w:i w:val="0"/>
                <w:sz w:val="18"/>
              </w:rPr>
              <w:t>-141.4 [-159.3, -128.7]</w:t>
            </w:r>
          </w:p>
        </w:tc>
        <w:tc>
          <w:tcPr>
            <w:tcW w:type="dxa" w:w="1296"/>
          </w:tcPr>
          <w:p>
            <w:pPr>
              <w:spacing w:line="240" w:lineRule="auto"/>
              <w:jc w:val="center"/>
            </w:pPr>
            <w:r>
              <w:rPr>
                <w:rFonts w:ascii="바탕" w:hAnsi="바탕" w:eastAsia="바탕"/>
                <w:b w:val="0"/>
                <w:i w:val="0"/>
                <w:sz w:val="18"/>
              </w:rPr>
              <w:t>-127.9 [-152.3, -117.8]</w:t>
            </w:r>
          </w:p>
        </w:tc>
        <w:tc>
          <w:tcPr>
            <w:tcW w:type="dxa" w:w="1296"/>
          </w:tcPr>
          <w:p>
            <w:pPr>
              <w:spacing w:line="240" w:lineRule="auto"/>
              <w:jc w:val="center"/>
            </w:pPr>
            <w:r>
              <w:rPr>
                <w:rFonts w:ascii="바탕" w:hAnsi="바탕" w:eastAsia="바탕"/>
                <w:b w:val="0"/>
                <w:i w:val="0"/>
                <w:sz w:val="18"/>
              </w:rPr>
              <w:t>-119.3 [-119.6, -119.1]</w:t>
            </w:r>
          </w:p>
        </w:tc>
        <w:tc>
          <w:tcPr>
            <w:tcW w:type="dxa" w:w="1296"/>
          </w:tcPr>
          <w:p>
            <w:pPr>
              <w:spacing w:line="240" w:lineRule="auto"/>
              <w:jc w:val="center"/>
            </w:pPr>
            <w:r>
              <w:rPr>
                <w:rFonts w:ascii="바탕" w:hAnsi="바탕" w:eastAsia="바탕"/>
                <w:b w:val="0"/>
                <w:i w:val="0"/>
                <w:sz w:val="18"/>
              </w:rPr>
              <w:t>-119.3 [-119.6, -119.1]</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-192.8 [-200.3, -167.4]</w:t>
            </w:r>
          </w:p>
        </w:tc>
        <w:tc>
          <w:tcPr>
            <w:tcW w:type="dxa" w:w="1296"/>
          </w:tcPr>
          <w:p>
            <w:pPr>
              <w:spacing w:line="240" w:lineRule="auto"/>
              <w:jc w:val="center"/>
            </w:pPr>
            <w:r>
              <w:rPr>
                <w:rFonts w:ascii="바탕" w:hAnsi="바탕" w:eastAsia="바탕"/>
                <w:b w:val="0"/>
                <w:i w:val="0"/>
                <w:sz w:val="18"/>
              </w:rPr>
              <w:t>-155.8 [-174.4, -133.9]</w:t>
            </w:r>
          </w:p>
        </w:tc>
        <w:tc>
          <w:tcPr>
            <w:tcW w:type="dxa" w:w="1296"/>
          </w:tcPr>
          <w:p>
            <w:pPr>
              <w:spacing w:line="240" w:lineRule="auto"/>
              <w:jc w:val="center"/>
            </w:pPr>
            <w:r>
              <w:rPr>
                <w:rFonts w:ascii="바탕" w:hAnsi="바탕" w:eastAsia="바탕"/>
                <w:b w:val="0"/>
                <w:i w:val="0"/>
                <w:sz w:val="18"/>
              </w:rPr>
              <w:t>-120.5 [-120.8, -120.3]</w:t>
            </w:r>
          </w:p>
        </w:tc>
        <w:tc>
          <w:tcPr>
            <w:tcW w:type="dxa" w:w="1296"/>
          </w:tcPr>
          <w:p>
            <w:pPr>
              <w:spacing w:line="240" w:lineRule="auto"/>
              <w:jc w:val="center"/>
            </w:pPr>
            <w:r>
              <w:rPr>
                <w:rFonts w:ascii="바탕" w:hAnsi="바탕" w:eastAsia="바탕"/>
                <w:b w:val="0"/>
                <w:i w:val="0"/>
                <w:sz w:val="18"/>
              </w:rPr>
              <w:t>-120.5 [-120.8, -120.3]</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[-201.1, -200.0]</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-159.1 [-189.1, -129.1]</w:t>
            </w:r>
          </w:p>
        </w:tc>
        <w:tc>
          <w:tcPr>
            <w:tcW w:type="dxa" w:w="1296"/>
          </w:tcPr>
          <w:p>
            <w:pPr>
              <w:spacing w:line="240" w:lineRule="auto"/>
              <w:jc w:val="center"/>
            </w:pPr>
            <w:r>
              <w:rPr>
                <w:rFonts w:ascii="바탕" w:hAnsi="바탕" w:eastAsia="바탕"/>
                <w:b w:val="0"/>
                <w:i w:val="0"/>
                <w:sz w:val="18"/>
              </w:rPr>
              <w:t>-121.7 [-122.0, -121.5]</w:t>
            </w:r>
          </w:p>
        </w:tc>
        <w:tc>
          <w:tcPr>
            <w:tcW w:type="dxa" w:w="1296"/>
          </w:tcPr>
          <w:p>
            <w:pPr>
              <w:spacing w:line="240" w:lineRule="auto"/>
              <w:jc w:val="center"/>
            </w:pPr>
            <w:r>
              <w:rPr>
                <w:rFonts w:ascii="바탕" w:hAnsi="바탕" w:eastAsia="바탕"/>
                <w:b w:val="0"/>
                <w:i w:val="0"/>
                <w:sz w:val="18"/>
              </w:rPr>
              <w:t>-121.7 [-122.0, -121.5]</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[-201.0, -133.1]</w:t>
            </w:r>
          </w:p>
        </w:tc>
        <w:tc>
          <w:tcPr>
            <w:tcW w:type="dxa" w:w="1296"/>
          </w:tcPr>
          <w:p>
            <w:pPr>
              <w:spacing w:line="240" w:lineRule="auto"/>
              <w:jc w:val="center"/>
            </w:pPr>
            <w:r>
              <w:rPr>
                <w:rFonts w:ascii="바탕" w:hAnsi="바탕" w:eastAsia="바탕"/>
                <w:b w:val="0"/>
                <w:i w:val="0"/>
                <w:sz w:val="18"/>
              </w:rPr>
              <w:t>-122.9 [-123.2, -122.6]</w:t>
            </w:r>
          </w:p>
        </w:tc>
        <w:tc>
          <w:tcPr>
            <w:tcW w:type="dxa" w:w="1296"/>
          </w:tcPr>
          <w:p>
            <w:pPr>
              <w:spacing w:line="240" w:lineRule="auto"/>
              <w:jc w:val="center"/>
            </w:pPr>
            <w:r>
              <w:rPr>
                <w:rFonts w:ascii="바탕" w:hAnsi="바탕" w:eastAsia="바탕"/>
                <w:b w:val="0"/>
                <w:i w:val="0"/>
                <w:sz w:val="18"/>
              </w:rPr>
              <w:t>-122.9 [-123.2,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[-200.0, -158.6]</w:t>
            </w:r>
          </w:p>
        </w:tc>
        <w:tc>
          <w:tcPr>
            <w:tcW w:type="dxa" w:w="1296"/>
          </w:tcPr>
          <w:p>
            <w:pPr>
              <w:spacing w:line="240" w:lineRule="auto"/>
              <w:jc w:val="center"/>
            </w:pPr>
            <w:r>
              <w:rPr>
                <w:rFonts w:ascii="바탕" w:hAnsi="바탕" w:eastAsia="바탕"/>
                <w:b w:val="0"/>
                <w:i w:val="0"/>
                <w:sz w:val="18"/>
              </w:rPr>
              <w:t>-125.3 [-125.6, -125.0]</w:t>
            </w:r>
          </w:p>
        </w:tc>
        <w:tc>
          <w:tcPr>
            <w:tcW w:type="dxa" w:w="1296"/>
          </w:tcPr>
          <w:p>
            <w:pPr>
              <w:spacing w:line="240" w:lineRule="auto"/>
              <w:jc w:val="center"/>
            </w:pPr>
            <w:r>
              <w:rPr>
                <w:rFonts w:ascii="바탕" w:hAnsi="바탕" w:eastAsia="바탕"/>
                <w:b w:val="0"/>
                <w:i w:val="0"/>
                <w:sz w:val="18"/>
              </w:rPr>
              <w:t>-125.3 [-125.6,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-159.5]</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-197.7]</w:t>
            </w:r>
          </w:p>
        </w:tc>
        <w:tc>
          <w:tcPr>
            <w:tcW w:type="dxa" w:w="1296"/>
          </w:tcPr>
          <w:p>
            <w:pPr>
              <w:spacing w:line="240" w:lineRule="auto"/>
              <w:jc w:val="center"/>
            </w:pPr>
            <w:r>
              <w:rPr>
                <w:rFonts w:ascii="바탕" w:hAnsi="바탕" w:eastAsia="바탕"/>
                <w:b w:val="0"/>
                <w:i w:val="0"/>
                <w:sz w:val="18"/>
              </w:rPr>
              <w:t>-198.1 [-198.5, -197.7]</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λ=0에서도 pump 규칙을 이기지 못했다.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λ=0에서도 pump 규칙을 이기지 못했다.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λ=0에서도 pump 규칙을 이기지 못했다.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5. MountainCar-v0의 에피소드당 행동 횟수 (IQM)</w:t>
      </w:r>
    </w:p>
    <w:p>
      <w:pPr>
        <w:spacing w:line="276" w:lineRule="auto" w:before="0" w:after="60"/>
        <w:jc w:val="center"/>
      </w:pPr>
      <w:r>
        <w:rPr>
          <w:rFonts w:ascii="맑은 고딕" w:hAnsi="맑은 고딕" w:eastAsia="맑은 고딕"/>
          <w:b w:val="0"/>
          <w:i/>
          <w:sz w:val="18"/>
        </w:rPr>
        <w:t>Table 5.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6. LunarLander-v3의 비용 반영 총보상 r′ — IQM [95% 신뢰구간]</w:t>
      </w:r>
    </w:p>
    <w:p>
      <w:pPr>
        <w:spacing w:line="276" w:lineRule="auto" w:before="0" w:after="60"/>
        <w:jc w:val="center"/>
      </w:pPr>
      <w:r>
        <w:rPr>
          <w:rFonts w:ascii="맑은 고딕" w:hAnsi="맑은 고딕" w:eastAsia="맑은 고딕"/>
          <w:b w:val="0"/>
          <w:i/>
          <w:sz w:val="18"/>
        </w:rPr>
        <w:t>Table 6.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[171.3, 216.4]</w:t>
            </w:r>
          </w:p>
        </w:tc>
        <w:tc>
          <w:tcPr>
            <w:tcW w:type="dxa" w:w="1296"/>
          </w:tcPr>
          <w:p>
            <w:pPr>
              <w:spacing w:line="240" w:lineRule="auto"/>
              <w:jc w:val="center"/>
            </w:pPr>
            <w:r>
              <w:rPr>
                <w:rFonts w:ascii="바탕" w:hAnsi="바탕" w:eastAsia="바탕"/>
                <w:b w:val="0"/>
                <w:i w:val="0"/>
                <w:sz w:val="18"/>
              </w:rPr>
              <w:t>159.1 [130.5, 181.6]</w:t>
            </w:r>
          </w:p>
        </w:tc>
        <w:tc>
          <w:tcPr>
            <w:tcW w:type="dxa" w:w="1296"/>
          </w:tcPr>
          <w:p>
            <w:pPr>
              <w:spacing w:line="240" w:lineRule="auto"/>
              <w:jc w:val="center"/>
            </w:pPr>
            <w:r>
              <w:rPr>
                <w:rFonts w:ascii="바탕" w:hAnsi="바탕" w:eastAsia="바탕"/>
                <w:b w:val="0"/>
                <w:i w:val="0"/>
                <w:sz w:val="18"/>
              </w:rPr>
              <w:t>210.1 [179.6, 234.4]</w:t>
            </w:r>
          </w:p>
        </w:tc>
        <w:tc>
          <w:tcPr>
            <w:tcW w:type="dxa" w:w="1296"/>
          </w:tcPr>
          <w:p>
            <w:pPr>
              <w:spacing w:line="240" w:lineRule="auto"/>
              <w:jc w:val="center"/>
            </w:pPr>
            <w:r>
              <w:rPr>
                <w:rFonts w:ascii="바탕" w:hAnsi="바탕" w:eastAsia="바탕"/>
                <w:b w:val="0"/>
                <w:i w:val="0"/>
                <w:sz w:val="18"/>
              </w:rPr>
              <w:t>35.8 [34.3, 37.6]</w:t>
            </w:r>
          </w:p>
        </w:tc>
        <w:tc>
          <w:tcPr>
            <w:tcW w:type="dxa" w:w="1296"/>
          </w:tcPr>
          <w:p>
            <w:pPr>
              <w:spacing w:line="240" w:lineRule="auto"/>
              <w:jc w:val="center"/>
            </w:pPr>
            <w:r>
              <w:rPr>
                <w:rFonts w:ascii="바탕" w:hAnsi="바탕" w:eastAsia="바탕"/>
                <w:b w:val="0"/>
                <w:i w:val="0"/>
                <w:sz w:val="18"/>
              </w:rPr>
              <w:t>35.8 [34.3, 37.6]</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[143.0, 206.9]</w:t>
            </w:r>
          </w:p>
        </w:tc>
        <w:tc>
          <w:tcPr>
            <w:tcW w:type="dxa" w:w="1296"/>
          </w:tcPr>
          <w:p>
            <w:pPr>
              <w:spacing w:line="240" w:lineRule="auto"/>
              <w:jc w:val="center"/>
            </w:pPr>
            <w:r>
              <w:rPr>
                <w:rFonts w:ascii="바탕" w:hAnsi="바탕" w:eastAsia="바탕"/>
                <w:b w:val="0"/>
                <w:i w:val="0"/>
                <w:sz w:val="18"/>
              </w:rPr>
              <w:t>118.9 [54.3, 176.8]</w:t>
            </w:r>
          </w:p>
        </w:tc>
        <w:tc>
          <w:tcPr>
            <w:tcW w:type="dxa" w:w="1296"/>
          </w:tcPr>
          <w:p>
            <w:pPr>
              <w:spacing w:line="240" w:lineRule="auto"/>
              <w:jc w:val="center"/>
            </w:pPr>
            <w:r>
              <w:rPr>
                <w:rFonts w:ascii="바탕" w:hAnsi="바탕" w:eastAsia="바탕"/>
                <w:b w:val="0"/>
                <w:i w:val="0"/>
                <w:sz w:val="18"/>
              </w:rPr>
              <w:t>212.9 [169.2, 227.6]</w:t>
            </w:r>
          </w:p>
        </w:tc>
        <w:tc>
          <w:tcPr>
            <w:tcW w:type="dxa" w:w="1296"/>
          </w:tcPr>
          <w:p>
            <w:pPr>
              <w:spacing w:line="240" w:lineRule="auto"/>
              <w:jc w:val="center"/>
            </w:pPr>
            <w:r>
              <w:rPr>
                <w:rFonts w:ascii="바탕" w:hAnsi="바탕" w:eastAsia="바탕"/>
                <w:b w:val="0"/>
                <w:i w:val="0"/>
                <w:sz w:val="18"/>
              </w:rPr>
              <w:t>23.6 [22.2, 25.4]</w:t>
            </w:r>
          </w:p>
        </w:tc>
        <w:tc>
          <w:tcPr>
            <w:tcW w:type="dxa" w:w="1296"/>
          </w:tcPr>
          <w:p>
            <w:pPr>
              <w:spacing w:line="240" w:lineRule="auto"/>
              <w:jc w:val="center"/>
            </w:pPr>
            <w:r>
              <w:rPr>
                <w:rFonts w:ascii="바탕" w:hAnsi="바탕" w:eastAsia="바탕"/>
                <w:b w:val="0"/>
                <w:i w:val="0"/>
                <w:sz w:val="18"/>
              </w:rPr>
              <w:t>23.6 [22.2, 25.4]</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[99.5, 169.3]</w:t>
            </w:r>
          </w:p>
        </w:tc>
        <w:tc>
          <w:tcPr>
            <w:tcW w:type="dxa" w:w="1296"/>
          </w:tcPr>
          <w:p>
            <w:pPr>
              <w:spacing w:line="240" w:lineRule="auto"/>
              <w:jc w:val="center"/>
            </w:pPr>
            <w:r>
              <w:rPr>
                <w:rFonts w:ascii="바탕" w:hAnsi="바탕" w:eastAsia="바탕"/>
                <w:b w:val="0"/>
                <w:i w:val="0"/>
                <w:sz w:val="18"/>
              </w:rPr>
              <w:t>80.7 [5.5, 156.3]</w:t>
            </w:r>
          </w:p>
        </w:tc>
        <w:tc>
          <w:tcPr>
            <w:tcW w:type="dxa" w:w="1296"/>
          </w:tcPr>
          <w:p>
            <w:pPr>
              <w:spacing w:line="240" w:lineRule="auto"/>
              <w:jc w:val="center"/>
            </w:pPr>
            <w:r>
              <w:rPr>
                <w:rFonts w:ascii="바탕" w:hAnsi="바탕" w:eastAsia="바탕"/>
                <w:b w:val="0"/>
                <w:i w:val="0"/>
                <w:sz w:val="18"/>
              </w:rPr>
              <w:t>147.1 [127.8, 162.0]</w:t>
            </w:r>
          </w:p>
        </w:tc>
        <w:tc>
          <w:tcPr>
            <w:tcW w:type="dxa" w:w="1296"/>
          </w:tcPr>
          <w:p>
            <w:pPr>
              <w:spacing w:line="240" w:lineRule="auto"/>
              <w:jc w:val="center"/>
            </w:pPr>
            <w:r>
              <w:rPr>
                <w:rFonts w:ascii="바탕" w:hAnsi="바탕" w:eastAsia="바탕"/>
                <w:b w:val="0"/>
                <w:i w:val="0"/>
                <w:sz w:val="18"/>
              </w:rPr>
              <w:t>-0.7 [-2.1, 1.1]</w:t>
            </w:r>
          </w:p>
        </w:tc>
        <w:tc>
          <w:tcPr>
            <w:tcW w:type="dxa" w:w="1296"/>
          </w:tcPr>
          <w:p>
            <w:pPr>
              <w:spacing w:line="240" w:lineRule="auto"/>
              <w:jc w:val="center"/>
            </w:pPr>
            <w:r>
              <w:rPr>
                <w:rFonts w:ascii="바탕" w:hAnsi="바탕" w:eastAsia="바탕"/>
                <w:b w:val="0"/>
                <w:i w:val="0"/>
                <w:sz w:val="18"/>
              </w:rPr>
              <w:t>-0.7 [-2.1, 1.1]</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[62.1, 105.0]</w:t>
            </w:r>
          </w:p>
        </w:tc>
        <w:tc>
          <w:tcPr>
            <w:tcW w:type="dxa" w:w="1296"/>
          </w:tcPr>
          <w:p>
            <w:pPr>
              <w:spacing w:line="240" w:lineRule="auto"/>
              <w:jc w:val="center"/>
            </w:pPr>
            <w:r>
              <w:rPr>
                <w:rFonts w:ascii="바탕" w:hAnsi="바탕" w:eastAsia="바탕"/>
                <w:b w:val="0"/>
                <w:i w:val="0"/>
                <w:sz w:val="18"/>
              </w:rPr>
              <w:t>59.4 [-4.0, 128.6]</w:t>
            </w:r>
          </w:p>
        </w:tc>
        <w:tc>
          <w:tcPr>
            <w:tcW w:type="dxa" w:w="1296"/>
          </w:tcPr>
          <w:p>
            <w:pPr>
              <w:spacing w:line="240" w:lineRule="auto"/>
              <w:jc w:val="center"/>
            </w:pPr>
            <w:r>
              <w:rPr>
                <w:rFonts w:ascii="바탕" w:hAnsi="바탕" w:eastAsia="바탕"/>
                <w:b w:val="0"/>
                <w:i w:val="0"/>
                <w:sz w:val="18"/>
              </w:rPr>
              <w:t>102.9 [54.0, 142.4]</w:t>
            </w:r>
          </w:p>
        </w:tc>
        <w:tc>
          <w:tcPr>
            <w:tcW w:type="dxa" w:w="1296"/>
          </w:tcPr>
          <w:p>
            <w:pPr>
              <w:spacing w:line="240" w:lineRule="auto"/>
              <w:jc w:val="center"/>
            </w:pPr>
            <w:r>
              <w:rPr>
                <w:rFonts w:ascii="바탕" w:hAnsi="바탕" w:eastAsia="바탕"/>
                <w:b w:val="0"/>
                <w:i w:val="0"/>
                <w:sz w:val="18"/>
              </w:rPr>
              <w:t>-37.2 [-38.6, -35.3]</w:t>
            </w:r>
          </w:p>
        </w:tc>
        <w:tc>
          <w:tcPr>
            <w:tcW w:type="dxa" w:w="1296"/>
          </w:tcPr>
          <w:p>
            <w:pPr>
              <w:spacing w:line="240" w:lineRule="auto"/>
              <w:jc w:val="center"/>
            </w:pPr>
            <w:r>
              <w:rPr>
                <w:rFonts w:ascii="바탕" w:hAnsi="바탕" w:eastAsia="바탕"/>
                <w:b w:val="0"/>
                <w:i w:val="0"/>
                <w:sz w:val="18"/>
              </w:rPr>
              <w:t>-37.2 [-38.6, -35.3]</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[-57.2, 35.2]</w:t>
            </w:r>
          </w:p>
        </w:tc>
        <w:tc>
          <w:tcPr>
            <w:tcW w:type="dxa" w:w="1296"/>
          </w:tcPr>
          <w:p>
            <w:pPr>
              <w:spacing w:line="240" w:lineRule="auto"/>
              <w:jc w:val="center"/>
            </w:pPr>
            <w:r>
              <w:rPr>
                <w:rFonts w:ascii="바탕" w:hAnsi="바탕" w:eastAsia="바탕"/>
                <w:b w:val="0"/>
                <w:i w:val="0"/>
                <w:sz w:val="18"/>
              </w:rPr>
              <w:t>-34.2 [-129.0, 23.9]</w:t>
            </w:r>
          </w:p>
        </w:tc>
        <w:tc>
          <w:tcPr>
            <w:tcW w:type="dxa" w:w="1296"/>
          </w:tcPr>
          <w:p>
            <w:pPr>
              <w:spacing w:line="240" w:lineRule="auto"/>
              <w:jc w:val="center"/>
            </w:pPr>
            <w:r>
              <w:rPr>
                <w:rFonts w:ascii="바탕" w:hAnsi="바탕" w:eastAsia="바탕"/>
                <w:b w:val="0"/>
                <w:i w:val="0"/>
                <w:sz w:val="18"/>
              </w:rPr>
              <w:t>36.8 [-41.6, 65.6]</w:t>
            </w:r>
          </w:p>
        </w:tc>
        <w:tc>
          <w:tcPr>
            <w:tcW w:type="dxa" w:w="1296"/>
          </w:tcPr>
          <w:p>
            <w:pPr>
              <w:spacing w:line="240" w:lineRule="auto"/>
              <w:jc w:val="center"/>
            </w:pPr>
            <w:r>
              <w:rPr>
                <w:rFonts w:ascii="바탕" w:hAnsi="바탕" w:eastAsia="바탕"/>
                <w:b w:val="0"/>
                <w:i w:val="0"/>
                <w:sz w:val="18"/>
              </w:rPr>
              <w:t>-85.7 [-87.4, -83.9]</w:t>
            </w:r>
          </w:p>
        </w:tc>
        <w:tc>
          <w:tcPr>
            <w:tcW w:type="dxa" w:w="1296"/>
          </w:tcPr>
          <w:p>
            <w:pPr>
              <w:spacing w:line="240" w:lineRule="auto"/>
              <w:jc w:val="center"/>
            </w:pPr>
            <w:r>
              <w:rPr>
                <w:rFonts w:ascii="바탕" w:hAnsi="바탕" w:eastAsia="바탕"/>
                <w:b w:val="0"/>
                <w:i w:val="0"/>
                <w:sz w:val="18"/>
              </w:rPr>
              <w:t>-85.7 [-87.4, -83.9]</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[-86.1, -34.3]</w:t>
            </w:r>
          </w:p>
        </w:tc>
        <w:tc>
          <w:tcPr>
            <w:tcW w:type="dxa" w:w="1296"/>
          </w:tcPr>
          <w:p>
            <w:pPr>
              <w:spacing w:line="240" w:lineRule="auto"/>
              <w:jc w:val="center"/>
            </w:pPr>
            <w:r>
              <w:rPr>
                <w:rFonts w:ascii="바탕" w:hAnsi="바탕" w:eastAsia="바탕"/>
                <w:b w:val="0"/>
                <w:i w:val="0"/>
                <w:sz w:val="18"/>
              </w:rPr>
              <w:t>-52.2 [-98.1, -6.6]</w:t>
            </w:r>
          </w:p>
        </w:tc>
        <w:tc>
          <w:tcPr>
            <w:tcW w:type="dxa" w:w="1296"/>
          </w:tcPr>
          <w:p>
            <w:pPr>
              <w:spacing w:line="240" w:lineRule="auto"/>
              <w:jc w:val="center"/>
            </w:pPr>
            <w:r>
              <w:rPr>
                <w:rFonts w:ascii="바탕" w:hAnsi="바탕" w:eastAsia="바탕"/>
                <w:b w:val="0"/>
                <w:i w:val="0"/>
                <w:sz w:val="18"/>
              </w:rPr>
              <w:t>-47.0 [-68.0, -26.4]</w:t>
            </w:r>
          </w:p>
        </w:tc>
        <w:tc>
          <w:tcPr>
            <w:tcW w:type="dxa" w:w="1296"/>
          </w:tcPr>
          <w:p>
            <w:pPr>
              <w:spacing w:line="240" w:lineRule="auto"/>
              <w:jc w:val="center"/>
            </w:pPr>
            <w:r>
              <w:rPr>
                <w:rFonts w:ascii="바탕" w:hAnsi="바탕" w:eastAsia="바탕"/>
                <w:b w:val="0"/>
                <w:i w:val="0"/>
                <w:sz w:val="18"/>
              </w:rPr>
              <w:t>-130.5 [-132.6, -128.8]</w:t>
            </w:r>
          </w:p>
        </w:tc>
        <w:tc>
          <w:tcPr>
            <w:tcW w:type="dxa" w:w="1296"/>
          </w:tcPr>
          <w:p>
            <w:pPr>
              <w:spacing w:line="240" w:lineRule="auto"/>
              <w:jc w:val="center"/>
            </w:pPr>
            <w:r>
              <w:rPr>
                <w:rFonts w:ascii="바탕" w:hAnsi="바탕" w:eastAsia="바탕"/>
                <w:b w:val="0"/>
                <w:i w:val="0"/>
                <w:sz w:val="18"/>
              </w:rPr>
              <w:t>-130.5 [-132.6, -128.8]</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[-152.0, -114.6]</w:t>
            </w:r>
          </w:p>
        </w:tc>
        <w:tc>
          <w:tcPr>
            <w:tcW w:type="dxa" w:w="1296"/>
          </w:tcPr>
          <w:p>
            <w:pPr>
              <w:spacing w:line="240" w:lineRule="auto"/>
              <w:jc w:val="center"/>
            </w:pPr>
            <w:r>
              <w:rPr>
                <w:rFonts w:ascii="바탕" w:hAnsi="바탕" w:eastAsia="바탕"/>
                <w:b w:val="0"/>
                <w:i w:val="0"/>
                <w:sz w:val="18"/>
              </w:rPr>
              <w:t>-153.4 [-236.8, -127.6]</w:t>
            </w:r>
          </w:p>
        </w:tc>
        <w:tc>
          <w:tcPr>
            <w:tcW w:type="dxa" w:w="1296"/>
          </w:tcPr>
          <w:p>
            <w:pPr>
              <w:spacing w:line="240" w:lineRule="auto"/>
              <w:jc w:val="center"/>
            </w:pPr>
            <w:r>
              <w:rPr>
                <w:rFonts w:ascii="바탕" w:hAnsi="바탕" w:eastAsia="바탕"/>
                <w:b w:val="0"/>
                <w:i w:val="0"/>
                <w:sz w:val="18"/>
              </w:rPr>
              <w:t>-157.4 [-223.6, -110.0]</w:t>
            </w:r>
          </w:p>
        </w:tc>
        <w:tc>
          <w:tcPr>
            <w:tcW w:type="dxa" w:w="1296"/>
          </w:tcPr>
          <w:p>
            <w:pPr>
              <w:spacing w:line="240" w:lineRule="auto"/>
              <w:jc w:val="center"/>
            </w:pPr>
            <w:r>
              <w:rPr>
                <w:rFonts w:ascii="바탕" w:hAnsi="바탕" w:eastAsia="바탕"/>
                <w:b w:val="0"/>
                <w:i w:val="0"/>
                <w:sz w:val="18"/>
              </w:rPr>
              <w:t>-206.9 [-209.2, -205.2]</w:t>
            </w:r>
          </w:p>
        </w:tc>
        <w:tc>
          <w:tcPr>
            <w:tcW w:type="dxa" w:w="1296"/>
          </w:tcPr>
          <w:p>
            <w:pPr>
              <w:spacing w:line="240" w:lineRule="auto"/>
              <w:jc w:val="center"/>
            </w:pPr>
            <w:r>
              <w:rPr>
                <w:rFonts w:ascii="바탕" w:hAnsi="바탕" w:eastAsia="바탕"/>
                <w:b w:val="0"/>
                <w:i w:val="0"/>
                <w:sz w:val="18"/>
              </w:rPr>
              <w:t>-131.3 [-133.4, -128.5]</w:t>
            </w:r>
          </w:p>
        </w:tc>
        <w:tc>
          <w:tcPr>
            <w:tcW w:type="dxa" w:w="1296"/>
          </w:tcPr>
          <w:p>
            <w:pPr>
              <w:spacing w:line="240" w:lineRule="auto"/>
              <w:jc w:val="center"/>
            </w:pPr>
            <w:r>
              <w:rPr>
                <w:rFonts w:ascii="바탕" w:hAnsi="바탕" w:eastAsia="바탕"/>
                <w:b w:val="0"/>
                <w:i w:val="0"/>
                <w:sz w:val="18"/>
              </w:rPr>
              <w:t>-131.3 [-133.4, -128.5]</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[-330.3, -148.3]</w:t>
            </w:r>
          </w:p>
        </w:tc>
        <w:tc>
          <w:tcPr>
            <w:tcW w:type="dxa" w:w="1296"/>
          </w:tcPr>
          <w:p>
            <w:pPr>
              <w:spacing w:line="240" w:lineRule="auto"/>
              <w:jc w:val="center"/>
            </w:pPr>
            <w:r>
              <w:rPr>
                <w:rFonts w:ascii="바탕" w:hAnsi="바탕" w:eastAsia="바탕"/>
                <w:b w:val="0"/>
                <w:i w:val="0"/>
                <w:sz w:val="18"/>
              </w:rPr>
              <w:t>-286.0 [-341.0, -204.5]</w:t>
            </w:r>
          </w:p>
        </w:tc>
        <w:tc>
          <w:tcPr>
            <w:tcW w:type="dxa" w:w="1296"/>
          </w:tcPr>
          <w:p>
            <w:pPr>
              <w:spacing w:line="240" w:lineRule="auto"/>
              <w:jc w:val="center"/>
            </w:pPr>
            <w:r>
              <w:rPr>
                <w:rFonts w:ascii="바탕" w:hAnsi="바탕" w:eastAsia="바탕"/>
                <w:b w:val="0"/>
                <w:i w:val="0"/>
                <w:sz w:val="18"/>
              </w:rPr>
              <w:t>-174.7 [-267.1, -136.6]</w:t>
            </w:r>
          </w:p>
        </w:tc>
        <w:tc>
          <w:tcPr>
            <w:tcW w:type="dxa" w:w="1296"/>
          </w:tcPr>
          <w:p>
            <w:pPr>
              <w:spacing w:line="240" w:lineRule="auto"/>
              <w:jc w:val="center"/>
            </w:pPr>
            <w:r>
              <w:rPr>
                <w:rFonts w:ascii="바탕" w:hAnsi="바탕" w:eastAsia="바탕"/>
                <w:b w:val="0"/>
                <w:i w:val="0"/>
                <w:sz w:val="18"/>
              </w:rPr>
              <w:t>-328.1 [-330.6, -326.5]</w:t>
            </w:r>
          </w:p>
        </w:tc>
        <w:tc>
          <w:tcPr>
            <w:tcW w:type="dxa" w:w="1296"/>
          </w:tcPr>
          <w:p>
            <w:pPr>
              <w:spacing w:line="240" w:lineRule="auto"/>
              <w:jc w:val="center"/>
            </w:pPr>
            <w:r>
              <w:rPr>
                <w:rFonts w:ascii="바탕" w:hAnsi="바탕" w:eastAsia="바탕"/>
                <w:b w:val="0"/>
                <w:i w:val="0"/>
                <w:sz w:val="18"/>
              </w:rPr>
              <w:t>-131.3 [-133.4, -128.5]</w:t>
            </w:r>
          </w:p>
        </w:tc>
        <w:tc>
          <w:tcPr>
            <w:tcW w:type="dxa" w:w="1296"/>
          </w:tcPr>
          <w:p>
            <w:pPr>
              <w:spacing w:line="240" w:lineRule="auto"/>
              <w:jc w:val="center"/>
            </w:pPr>
            <w:r>
              <w:rPr>
                <w:rFonts w:ascii="바탕" w:hAnsi="바탕" w:eastAsia="바탕"/>
                <w:b w:val="0"/>
                <w:i w:val="0"/>
                <w:sz w:val="18"/>
              </w:rPr>
              <w:t>-131.3 [-133.4, -128.5]</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7. LunarLander-v3의 에피소드당 행동 횟수 (IQM)</w:t>
      </w:r>
    </w:p>
    <w:p>
      <w:pPr>
        <w:spacing w:line="276" w:lineRule="auto" w:before="0" w:after="60"/>
        <w:jc w:val="center"/>
      </w:pPr>
      <w:r>
        <w:rPr>
          <w:rFonts w:ascii="맑은 고딕" w:hAnsi="맑은 고딕" w:eastAsia="맑은 고딕"/>
          <w:b w:val="0"/>
          <w:i/>
          <w:sz w:val="18"/>
        </w:rPr>
        <w:t>Table 7.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200" w:after="80"/>
        <w:jc w:val="left"/>
      </w:pPr>
      <w:r>
        <w:rPr>
          <w:rFonts w:ascii="맑은 고딕" w:hAnsi="맑은 고딕" w:eastAsia="맑은 고딕"/>
          <w:b/>
          <w:i w:val="0"/>
          <w:sz w:val="22"/>
        </w:rPr>
        <w:t>5. 무행동 붕괴 — 아주 작은 비용에서 학습이 멈춘다</w:t>
      </w:r>
    </w:p>
    <w:p>
      <w:pPr>
        <w:spacing w:line="480" w:lineRule="auto" w:before="0" w:after="0"/>
        <w:ind w:firstLine="200"/>
        <w:jc w:val="both"/>
      </w:pPr>
      <w:r>
        <w:rPr>
          <w:rFonts w:ascii="바탕" w:hAnsi="바탕" w:eastAsia="바탕"/>
          <w:b w:val="0"/>
          <w:i w:val="0"/>
          <w:sz w:val="20"/>
        </w:rPr>
        <w:t>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6.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3.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3.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세 가지다.</w:t>
      </w:r>
    </w:p>
    <w:p>
      <w:pPr>
        <w:spacing w:line="480" w:lineRule="auto" w:before="0" w:after="0"/>
        <w:ind w:firstLine="200"/>
        <w:jc w:val="both"/>
      </w:pPr>
      <w:r>
        <w:rPr>
          <w:rFonts w:ascii="바탕" w:hAnsi="바탕" w:eastAsia="바탕"/>
          <w:b w:val="0"/>
          <w:i w:val="0"/>
          <w:sz w:val="20"/>
        </w:rPr>
        <w:t>**첫째, λ-성능 지도와 임계 비용 λ\*.** 두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이기지 못했다.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198"/>
      </w:pPr>
      <w:r>
        <w:rPr>
          <w:rFonts w:ascii="바탕" w:hAnsi="바탕" w:eastAsia="바탕"/>
          <w:b w:val="0"/>
          <w:i w:val="0"/>
          <w:sz w:val="20"/>
        </w:rPr>
        <w:t xml:space="preserve">· 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198"/>
      </w:pPr>
      <w:r>
        <w:rPr>
          <w:rFonts w:ascii="바탕" w:hAnsi="바탕" w:eastAsia="바탕"/>
          <w:b w:val="0"/>
          <w:i w:val="0"/>
          <w:sz w:val="20"/>
        </w:rPr>
        <w:t xml:space="preserve">· 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두 환경 모두에서 가장 안정적이었다.</w:t>
      </w:r>
    </w:p>
    <w:p>
      <w:pPr>
        <w:spacing w:line="480" w:lineRule="auto" w:before="0" w:after="0"/>
        <w:ind w:left="340" w:hanging="198"/>
      </w:pPr>
      <w:r>
        <w:rPr>
          <w:rFonts w:ascii="바탕" w:hAnsi="바탕" w:eastAsia="바탕"/>
          <w:b w:val="0"/>
          <w:i w:val="0"/>
          <w:sz w:val="20"/>
        </w:rPr>
        <w:t xml:space="preserve">· 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둘뿐이다.</w:t>
      </w:r>
      <w:r>
        <w:rPr>
          <w:rFonts w:ascii="바탕" w:hAnsi="바탕" w:eastAsia="바탕"/>
          <w:b w:val="0"/>
          <w:i w:val="0"/>
          <w:sz w:val="20"/>
        </w:rPr>
        <w:t xml:space="preserve"> MountainCar와 LunarLander는 성질이 대조적이라는 점에서 잘 고른 짝이지만,</w:t>
      </w:r>
    </w:p>
    <w:p>
      <w:pPr>
        <w:spacing w:line="480" w:lineRule="auto" w:before="0" w:after="0"/>
        <w:ind w:firstLine="200"/>
        <w:jc w:val="both"/>
      </w:pPr>
      <w:r>
        <w:rPr>
          <w:rFonts w:ascii="바탕" w:hAnsi="바탕" w:eastAsia="바탕"/>
          <w:b w:val="0"/>
          <w:i w:val="0"/>
          <w:sz w:val="20"/>
        </w:rPr>
        <w:t>두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행동을 새로 </w:t>
      </w:r>
      <w:r>
        <w:rPr>
          <w:rFonts w:ascii="바탕" w:hAnsi="바탕" w:eastAsia="바탕"/>
          <w:b/>
          <w:i w:val="0"/>
          <w:sz w:val="20"/>
        </w:rPr>
        <w:t>결정할 때 1번만</w:t>
      </w:r>
      <w:r>
        <w:rPr>
          <w:rFonts w:ascii="바탕" w:hAnsi="바탕" w:eastAsia="바탕"/>
          <w:b w:val="0"/>
          <w:i w:val="0"/>
          <w:sz w:val="20"/>
        </w:rPr>
        <w:t xml:space="preserve"> 무는 해석(전환 비용)에서는 TempoRL 계열이 유리해질 수 있다. 공정 비교를 지키려고 한 가지 방식으로 고정했으나, 다른 방식은 다른 지도를 그릴 것이다.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더 긴 예산에서는 학습 쪽이 유리해진다는 것을 공정성 점검에서 실제로 확인했다.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**환경 수를 늘려 '보상 조밀도 → λ\*' 관계를 검증한다.**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