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 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-28 [-62, -4]</w:t>
            </w:r>
          </w:p>
        </w:tc>
        <w:tc>
          <w:tcPr>
            <w:tcW w:type="dxa" w:w="1296"/>
          </w:tcPr>
          <w:p>
            <w:pPr>
              <w:spacing w:line="240" w:lineRule="auto"/>
              <w:jc w:val="center"/>
            </w:pPr>
            <w:r>
              <w:rPr>
                <w:rFonts w:ascii="바탕" w:hAnsi="바탕" w:eastAsia="바탕"/>
                <w:b w:val="0"/>
                <w:i w:val="0"/>
                <w:sz w:val="18"/>
              </w:rPr>
              <w:t>5 [-17,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-202 [-311, -136]</w:t>
            </w:r>
          </w:p>
        </w:tc>
        <w:tc>
          <w:tcPr>
            <w:tcW w:type="dxa" w:w="1296"/>
          </w:tcPr>
          <w:p>
            <w:pPr>
              <w:spacing w:line="240" w:lineRule="auto"/>
              <w:jc w:val="center"/>
            </w:pPr>
            <w:r>
              <w:rPr>
                <w:rFonts w:ascii="바탕" w:hAnsi="바탕" w:eastAsia="바탕"/>
                <w:b w:val="0"/>
                <w:i w:val="0"/>
                <w:sz w:val="18"/>
              </w:rPr>
              <w:t>-61 [-87, -31]</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-139 [-288, -103]</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-161 [-238, -129]</w:t>
            </w:r>
          </w:p>
        </w:tc>
        <w:tc>
          <w:tcPr>
            <w:tcW w:type="dxa" w:w="1296"/>
          </w:tcPr>
          <w:p>
            <w:pPr>
              <w:spacing w:line="240" w:lineRule="auto"/>
              <w:jc w:val="center"/>
            </w:pPr>
            <w:r>
              <w:rPr>
                <w:rFonts w:ascii="바탕" w:hAnsi="바탕" w:eastAsia="바탕"/>
                <w:b w:val="0"/>
                <w:i w:val="0"/>
                <w:sz w:val="18"/>
              </w:rPr>
              <w:t>-192 [-299, -157]</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2614695"/>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261469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w:t>
            </w:r>
          </w:p>
        </w:tc>
        <w:tc>
          <w:tcPr>
            <w:tcW w:type="dxa" w:w="907"/>
          </w:tcPr>
          <w:p>
            <w:pPr>
              <w:spacing w:line="240" w:lineRule="auto"/>
              <w:jc w:val="center"/>
            </w:pPr>
            <w:r>
              <w:rPr>
                <w:rFonts w:ascii="바탕" w:hAnsi="바탕" w:eastAsia="바탕"/>
                <w:b w:val="0"/>
                <w:i w:val="0"/>
                <w:sz w:val="18"/>
              </w:rPr>
              <w:t>8.7</w:t>
            </w:r>
          </w:p>
        </w:tc>
        <w:tc>
          <w:tcPr>
            <w:tcW w:type="dxa" w:w="1361"/>
          </w:tcPr>
          <w:p>
            <w:pPr>
              <w:spacing w:line="240" w:lineRule="auto"/>
              <w:jc w:val="center"/>
            </w:pPr>
            <w:r>
              <w:rPr>
                <w:rFonts w:ascii="바탕" w:hAnsi="바탕" w:eastAsia="바탕"/>
                <w:b w:val="0"/>
                <w:i w:val="0"/>
                <w:sz w:val="18"/>
              </w:rPr>
              <w:t>[8.7, 8.7]</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[16.5,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7은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7" name="Picture 7"/>
            <wp:cNvGraphicFramePr>
              <a:graphicFrameLocks noChangeAspect="1"/>
            </wp:cNvGraphicFramePr>
            <a:graphic>
              <a:graphicData uri="http://schemas.openxmlformats.org/drawingml/2006/picture">
                <pic:pic>
                  <pic:nvPicPr>
                    <pic:cNvPr id="0" name="fig_fair_fairness_curves_MountainCar-v0.png"/>
                    <pic:cNvPicPr/>
                  </pic:nvPicPr>
                  <pic:blipFill>
                    <a:blip r:embed="rId16"/>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7.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7.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 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 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 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