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이것이 최적해인지 탐험 실패인지를 가르기 위해 비용을 학습 도중에 켜는 대조 조건을 함께 실험하였다. [실험 대기 — 결과 나오면 확정]</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세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조밀하고 규칙이 약한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모두 '아무것도 하지 않기'로 굳는 현상을 관찰했다. 이것이 비용에 따른 최적해인지 탐험 실패인지를 가르기 위해, 비용을 학습 도중에 켜는 대조 조건을 두어 비교했다. [실험 대기 — 결과 나오면 확정]</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w:t>
      </w:r>
      <w:r>
        <w:rPr>
          <w:rFonts w:ascii="바탕" w:hAnsi="바탕" w:eastAsia="바탕"/>
          <w:b w:val="0"/>
          <w:i w:val="0"/>
          <w:sz w:val="20"/>
        </w:rPr>
        <w:t xml:space="preserve"> "학습이 규칙에 진 것은 비용 때문이 아니라 학습이 덜 된 탓 아닌가"라는</w:t>
      </w:r>
    </w:p>
    <w:p>
      <w:pPr>
        <w:spacing w:line="480" w:lineRule="auto" w:before="0" w:after="0"/>
        <w:ind w:firstLine="200"/>
        <w:jc w:val="both"/>
      </w:pPr>
      <w:r>
        <w:rPr>
          <w:rFonts w:ascii="바탕" w:hAnsi="바탕" w:eastAsia="바탕"/>
          <w:b w:val="0"/>
          <w:i w:val="0"/>
          <w:sz w:val="20"/>
        </w:rPr>
        <w:t>당연한 반론을 정면으로 확인했다. 비용이 아예 없는 λ=0 조건에서 학습 예산과 탐험 설정을 바꿔 가며 다시 쟀고, 그 결과를 그대로 보고한다.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행동이 상당히 비싸질 때까지 학습이 규칙을 이겼다. 구체적인 λ* 값은 Ⅳ장 표 1에 있다.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조밀하고, 고정 규칙은 착륙만 시킬 뿐 점수가 낮다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200스텝 제한에서 무작위 행동을 얼마나 이어서 내는지에 따라 목표 도달률을 쟀다(각 500 에피소드).</w:t>
      </w:r>
    </w:p>
    <w:p>
      <w:pPr>
        <w:spacing w:line="276" w:lineRule="auto" w:before="200" w:after="40"/>
        <w:jc w:val="center"/>
      </w:pPr>
      <w:r>
        <w:rPr>
          <w:rFonts w:ascii="맑은 고딕" w:hAnsi="맑은 고딕" w:eastAsia="맑은 고딕"/>
          <w:b/>
          <w:i w:val="0"/>
          <w:sz w:val="19"/>
        </w:rPr>
        <w:t>표 1. MountainCar에서 무작위 탐험이 목표에 닿는 비율 (각 500 에피소드)</w:t>
      </w:r>
    </w:p>
    <w:p>
      <w:pPr>
        <w:spacing w:line="276" w:lineRule="auto" w:before="0" w:after="60"/>
        <w:jc w:val="center"/>
      </w:pPr>
      <w:r>
        <w:rPr>
          <w:rFonts w:ascii="맑은 고딕" w:hAnsi="맑은 고딕" w:eastAsia="맑은 고딕"/>
          <w:b w:val="0"/>
          <w:i/>
          <w:sz w:val="18"/>
        </w:rPr>
        <w:t>Table 1. Goal-reaching rate of random exploration on MountainCar (500 episodes each)</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같은 행동을 유지하는 길이</w:t>
            </w:r>
          </w:p>
        </w:tc>
        <w:tc>
          <w:tcPr>
            <w:tcW w:type="dxa" w:w="1296"/>
            <w:shd w:val="clear" w:color="auto" w:fill="EDEDED"/>
          </w:tcPr>
          <w:p>
            <w:pPr>
              <w:spacing w:line="240" w:lineRule="auto"/>
              <w:jc w:val="center"/>
            </w:pPr>
            <w:r/>
            <w:r>
              <w:rPr>
                <w:rFonts w:ascii="맑은 고딕" w:hAnsi="맑은 고딕" w:eastAsia="맑은 고딕"/>
                <w:b/>
                <w:i w:val="0"/>
                <w:sz w:val="18"/>
              </w:rPr>
              <w:t>1</w:t>
            </w:r>
          </w:p>
        </w:tc>
        <w:tc>
          <w:tcPr>
            <w:tcW w:type="dxa" w:w="1296"/>
            <w:shd w:val="clear" w:color="auto" w:fill="EDEDED"/>
          </w:tcPr>
          <w:p>
            <w:pPr>
              <w:spacing w:line="240" w:lineRule="auto"/>
              <w:jc w:val="center"/>
            </w:pPr>
            <w:r/>
            <w:r>
              <w:rPr>
                <w:rFonts w:ascii="맑은 고딕" w:hAnsi="맑은 고딕" w:eastAsia="맑은 고딕"/>
                <w:b/>
                <w:i w:val="0"/>
                <w:sz w:val="18"/>
              </w:rPr>
              <w:t>2</w:t>
            </w:r>
          </w:p>
        </w:tc>
        <w:tc>
          <w:tcPr>
            <w:tcW w:type="dxa" w:w="1296"/>
            <w:shd w:val="clear" w:color="auto" w:fill="EDEDED"/>
          </w:tcPr>
          <w:p>
            <w:pPr>
              <w:spacing w:line="240" w:lineRule="auto"/>
              <w:jc w:val="center"/>
            </w:pPr>
            <w:r/>
            <w:r>
              <w:rPr>
                <w:rFonts w:ascii="맑은 고딕" w:hAnsi="맑은 고딕" w:eastAsia="맑은 고딕"/>
                <w:b/>
                <w:i w:val="0"/>
                <w:sz w:val="18"/>
              </w:rPr>
              <w:t>4</w:t>
            </w:r>
          </w:p>
        </w:tc>
        <w:tc>
          <w:tcPr>
            <w:tcW w:type="dxa" w:w="1296"/>
            <w:shd w:val="clear" w:color="auto" w:fill="EDEDED"/>
          </w:tcPr>
          <w:p>
            <w:pPr>
              <w:spacing w:line="240" w:lineRule="auto"/>
              <w:jc w:val="center"/>
            </w:pPr>
            <w:r/>
            <w:r>
              <w:rPr>
                <w:rFonts w:ascii="맑은 고딕" w:hAnsi="맑은 고딕" w:eastAsia="맑은 고딕"/>
                <w:b/>
                <w:i w:val="0"/>
                <w:sz w:val="18"/>
              </w:rPr>
              <w:t>8</w:t>
            </w:r>
          </w:p>
        </w:tc>
        <w:tc>
          <w:tcPr>
            <w:tcW w:type="dxa" w:w="1296"/>
            <w:shd w:val="clear" w:color="auto" w:fill="EDEDED"/>
          </w:tcPr>
          <w:p>
            <w:pPr>
              <w:spacing w:line="240" w:lineRule="auto"/>
              <w:jc w:val="center"/>
            </w:pPr>
            <w:r/>
            <w:r>
              <w:rPr>
                <w:rFonts w:ascii="맑은 고딕" w:hAnsi="맑은 고딕" w:eastAsia="맑은 고딕"/>
                <w:b/>
                <w:i w:val="0"/>
                <w:sz w:val="18"/>
              </w:rPr>
              <w:t>16</w:t>
            </w:r>
          </w:p>
        </w:tc>
        <w:tc>
          <w:tcPr>
            <w:tcW w:type="dxa" w:w="1296"/>
            <w:shd w:val="clear" w:color="auto" w:fill="EDEDED"/>
          </w:tcPr>
          <w:p>
            <w:pPr>
              <w:spacing w:line="240" w:lineRule="auto"/>
              <w:jc w:val="center"/>
            </w:pPr>
            <w:r/>
            <w:r>
              <w:rPr>
                <w:rFonts w:ascii="맑은 고딕" w:hAnsi="맑은 고딕" w:eastAsia="맑은 고딕"/>
                <w:b/>
                <w:i w:val="0"/>
                <w:sz w:val="18"/>
              </w:rPr>
              <w:t>32</w:t>
            </w:r>
          </w:p>
        </w:tc>
      </w:tr>
      <w:tr>
        <w:tc>
          <w:tcPr>
            <w:tcW w:type="dxa" w:w="1296"/>
          </w:tcPr>
          <w:p>
            <w:pPr>
              <w:spacing w:line="240" w:lineRule="auto"/>
              <w:jc w:val="left"/>
            </w:pPr>
            <w:r>
              <w:rPr>
                <w:rFonts w:ascii="바탕" w:hAnsi="바탕" w:eastAsia="바탕"/>
                <w:b w:val="0"/>
                <w:i w:val="0"/>
                <w:sz w:val="18"/>
              </w:rPr>
              <w:t>목표 도달률</w:t>
            </w:r>
          </w:p>
        </w:tc>
        <w:tc>
          <w:tcPr>
            <w:tcW w:type="dxa" w:w="1296"/>
          </w:tcPr>
          <w:p>
            <w:pPr>
              <w:spacing w:line="240" w:lineRule="auto"/>
              <w:jc w:val="center"/>
            </w:pPr>
            <w:r>
              <w:rPr>
                <w:rFonts w:ascii="바탕" w:hAnsi="바탕" w:eastAsia="바탕"/>
                <w:b/>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0.0%</w:t>
            </w:r>
          </w:p>
        </w:tc>
        <w:tc>
          <w:tcPr>
            <w:tcW w:type="dxa" w:w="1296"/>
          </w:tcPr>
          <w:p>
            <w:pPr>
              <w:spacing w:line="240" w:lineRule="auto"/>
              <w:jc w:val="center"/>
            </w:pPr>
            <w:r>
              <w:rPr>
                <w:rFonts w:ascii="바탕" w:hAnsi="바탕" w:eastAsia="바탕"/>
                <w:b w:val="0"/>
                <w:i w:val="0"/>
                <w:sz w:val="18"/>
              </w:rPr>
              <w:t>0.8%</w:t>
            </w:r>
          </w:p>
        </w:tc>
        <w:tc>
          <w:tcPr>
            <w:tcW w:type="dxa" w:w="1296"/>
          </w:tcPr>
          <w:p>
            <w:pPr>
              <w:spacing w:line="240" w:lineRule="auto"/>
              <w:jc w:val="center"/>
            </w:pPr>
            <w:r>
              <w:rPr>
                <w:rFonts w:ascii="바탕" w:hAnsi="바탕" w:eastAsia="바탕"/>
                <w:b w:val="0"/>
                <w:i w:val="0"/>
                <w:sz w:val="18"/>
              </w:rPr>
              <w:t>8.2%</w:t>
            </w:r>
          </w:p>
        </w:tc>
        <w:tc>
          <w:tcPr>
            <w:tcW w:type="dxa" w:w="1296"/>
          </w:tcPr>
          <w:p>
            <w:pPr>
              <w:spacing w:line="240" w:lineRule="auto"/>
              <w:jc w:val="center"/>
            </w:pPr>
            <w:r>
              <w:rPr>
                <w:rFonts w:ascii="바탕" w:hAnsi="바탕" w:eastAsia="바탕"/>
                <w:b w:val="0"/>
                <w:i w:val="0"/>
                <w:sz w:val="18"/>
              </w:rPr>
              <w:t>23.4%</w:t>
            </w:r>
          </w:p>
        </w:tc>
      </w:tr>
    </w:tbl>
    <w:p>
      <w:pPr>
        <w:spacing w:line="240" w:lineRule="auto" w:before="0" w:after="120"/>
        <w:jc w:val="both"/>
      </w:pPr>
    </w:p>
    <w:p>
      <w:pPr>
        <w:spacing w:line="480" w:lineRule="auto" w:before="0" w:after="0"/>
        <w:ind w:firstLine="200"/>
        <w:jc w:val="both"/>
      </w:pP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두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spacing w:line="480" w:lineRule="auto" w:before="0" w:after="0"/>
        <w:ind w:firstLine="200"/>
        <w:jc w:val="both"/>
      </w:pPr>
      <w:r>
        <w:rPr>
          <w:rFonts w:ascii="바탕" w:hAnsi="바탕" w:eastAsia="바탕"/>
          <w:b w:val="0"/>
          <w:i w:val="0"/>
          <w:sz w:val="20"/>
        </w:rPr>
        <w:t xml:space="preserve">같은 설정·같은 시드로 다시 돌려 대조한 결과, 학습 중 곡선 평가 12개 지점과 최종 평가 150 에피소드의 모든 지표가 </w:t>
      </w:r>
      <w:r>
        <w:rPr>
          <w:rFonts w:ascii="바탕" w:hAnsi="바탕" w:eastAsia="바탕"/>
          <w:b/>
          <w:i w:val="0"/>
          <w:sz w:val="20"/>
        </w:rPr>
        <w:t>소수점 아래 9자리까지 일치</w:t>
      </w:r>
      <w:r>
        <w:rPr>
          <w:rFonts w:ascii="바탕" w:hAnsi="바탕" w:eastAsia="바탕"/>
          <w:b w:val="0"/>
          <w:i w:val="0"/>
          <w:sz w:val="20"/>
        </w:rPr>
        <w:t>했다(총보상 −131.486842, 행동 120.3회, 목표 도달률 84.0%). 소요시간만 909초 대 1,004초로 달랐는데, 이는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2.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2.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5</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5</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5</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3</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1</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2</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3. 실험 설정 요약</w:t>
      </w:r>
    </w:p>
    <w:p>
      <w:pPr>
        <w:spacing w:line="276" w:lineRule="auto" w:before="0" w:after="60"/>
        <w:jc w:val="center"/>
      </w:pPr>
      <w:r>
        <w:rPr>
          <w:rFonts w:ascii="맑은 고딕" w:hAnsi="맑은 고딕" w:eastAsia="맑은 고딕"/>
          <w:b w:val="0"/>
          <w:i/>
          <w:sz w:val="18"/>
        </w:rPr>
        <w:t>Table 3.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 xml:space="preserve">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5~10개까지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4. MountainCar-v0의 비용 반영 총보상 r′ — IQM [95% 신뢰구간]</w:t>
      </w:r>
    </w:p>
    <w:p>
      <w:pPr>
        <w:spacing w:line="276" w:lineRule="auto" w:before="0" w:after="60"/>
        <w:jc w:val="center"/>
      </w:pPr>
      <w:r>
        <w:rPr>
          <w:rFonts w:ascii="맑은 고딕" w:hAnsi="맑은 고딕" w:eastAsia="맑은 고딕"/>
          <w:b w:val="0"/>
          <w:i/>
          <w:sz w:val="18"/>
        </w:rPr>
        <w:t>Table 4.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-164 [-200, -124]</w:t>
            </w:r>
          </w:p>
        </w:tc>
        <w:tc>
          <w:tcPr>
            <w:tcW w:type="dxa" w:w="1512"/>
          </w:tcPr>
          <w:p>
            <w:pPr>
              <w:spacing w:line="240" w:lineRule="auto"/>
              <w:jc w:val="center"/>
            </w:pPr>
            <w:r>
              <w:rPr>
                <w:rFonts w:ascii="바탕" w:hAnsi="바탕" w:eastAsia="바탕"/>
                <w:b w:val="0"/>
                <w:i w:val="0"/>
                <w:sz w:val="18"/>
              </w:rPr>
              <w:t>-156 [-193, -125]</w:t>
            </w:r>
          </w:p>
        </w:tc>
        <w:tc>
          <w:tcPr>
            <w:tcW w:type="dxa" w:w="1512"/>
          </w:tcPr>
          <w:p>
            <w:pPr>
              <w:spacing w:line="240" w:lineRule="auto"/>
              <w:jc w:val="center"/>
            </w:pPr>
            <w:r>
              <w:rPr>
                <w:rFonts w:ascii="바탕" w:hAnsi="바탕" w:eastAsia="바탕"/>
                <w:b w:val="0"/>
                <w:i w:val="0"/>
                <w:sz w:val="18"/>
              </w:rPr>
              <w:t>-179 [-200, -136]</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-139 [-180, -121]</w:t>
            </w:r>
          </w:p>
        </w:tc>
        <w:tc>
          <w:tcPr>
            <w:tcW w:type="dxa" w:w="1512"/>
          </w:tcPr>
          <w:p>
            <w:pPr>
              <w:spacing w:line="240" w:lineRule="auto"/>
              <w:jc w:val="center"/>
            </w:pPr>
            <w:r>
              <w:rPr>
                <w:rFonts w:ascii="바탕" w:hAnsi="바탕" w:eastAsia="바탕"/>
                <w:b w:val="0"/>
                <w:i w:val="0"/>
                <w:sz w:val="18"/>
              </w:rPr>
              <w:t>-171 [-200, -133]</w:t>
            </w:r>
          </w:p>
        </w:tc>
        <w:tc>
          <w:tcPr>
            <w:tcW w:type="dxa" w:w="1512"/>
          </w:tcPr>
          <w:p>
            <w:pPr>
              <w:spacing w:line="240" w:lineRule="auto"/>
              <w:jc w:val="center"/>
            </w:pPr>
            <w:r>
              <w:rPr>
                <w:rFonts w:ascii="바탕" w:hAnsi="바탕" w:eastAsia="바탕"/>
                <w:b w:val="0"/>
                <w:i w:val="0"/>
                <w:sz w:val="18"/>
              </w:rPr>
              <w:t>-151 [-173, -118]</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-181 [-200, -147]</w:t>
            </w:r>
          </w:p>
        </w:tc>
        <w:tc>
          <w:tcPr>
            <w:tcW w:type="dxa" w:w="1512"/>
          </w:tcPr>
          <w:p>
            <w:pPr>
              <w:spacing w:line="240" w:lineRule="auto"/>
              <w:jc w:val="center"/>
            </w:pPr>
            <w:r>
              <w:rPr>
                <w:rFonts w:ascii="바탕" w:hAnsi="바탕" w:eastAsia="바탕"/>
                <w:b w:val="0"/>
                <w:i w:val="0"/>
                <w:sz w:val="18"/>
              </w:rPr>
              <w:t>-144 [-182, -129]</w:t>
            </w:r>
          </w:p>
        </w:tc>
        <w:tc>
          <w:tcPr>
            <w:tcW w:type="dxa" w:w="1512"/>
          </w:tcPr>
          <w:p>
            <w:pPr>
              <w:spacing w:line="240" w:lineRule="auto"/>
              <w:jc w:val="center"/>
            </w:pPr>
            <w:r>
              <w:rPr>
                <w:rFonts w:ascii="바탕" w:hAnsi="바탕" w:eastAsia="바탕"/>
                <w:b w:val="0"/>
                <w:i w:val="0"/>
                <w:sz w:val="18"/>
              </w:rPr>
              <w:t>-160 [-192,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-167 [-201, -129]</w:t>
            </w:r>
          </w:p>
        </w:tc>
        <w:tc>
          <w:tcPr>
            <w:tcW w:type="dxa" w:w="1512"/>
          </w:tcPr>
          <w:p>
            <w:pPr>
              <w:spacing w:line="240" w:lineRule="auto"/>
              <w:jc w:val="center"/>
            </w:pPr>
            <w:r>
              <w:rPr>
                <w:rFonts w:ascii="바탕" w:hAnsi="바탕" w:eastAsia="바탕"/>
                <w:b w:val="0"/>
                <w:i w:val="0"/>
                <w:sz w:val="18"/>
              </w:rPr>
              <w:t>-149 [-188, -125]</w:t>
            </w:r>
          </w:p>
        </w:tc>
        <w:tc>
          <w:tcPr>
            <w:tcW w:type="dxa" w:w="1512"/>
          </w:tcPr>
          <w:p>
            <w:pPr>
              <w:spacing w:line="240" w:lineRule="auto"/>
              <w:jc w:val="center"/>
            </w:pPr>
            <w:r>
              <w:rPr>
                <w:rFonts w:ascii="바탕" w:hAnsi="바탕" w:eastAsia="바탕"/>
                <w:b w:val="0"/>
                <w:i w:val="0"/>
                <w:sz w:val="18"/>
              </w:rPr>
              <w:t>-130 [-180, -124]</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-200 [-201, -189]</w:t>
            </w:r>
          </w:p>
        </w:tc>
        <w:tc>
          <w:tcPr>
            <w:tcW w:type="dxa" w:w="1512"/>
          </w:tcPr>
          <w:p>
            <w:pPr>
              <w:spacing w:line="240" w:lineRule="auto"/>
              <w:jc w:val="center"/>
            </w:pPr>
            <w:r>
              <w:rPr>
                <w:rFonts w:ascii="바탕" w:hAnsi="바탕" w:eastAsia="바탕"/>
                <w:b w:val="0"/>
                <w:i w:val="0"/>
                <w:sz w:val="18"/>
              </w:rPr>
              <w:t>-181 [-200, -156]</w:t>
            </w:r>
          </w:p>
        </w:tc>
        <w:tc>
          <w:tcPr>
            <w:tcW w:type="dxa" w:w="1512"/>
          </w:tcPr>
          <w:p>
            <w:pPr>
              <w:spacing w:line="240" w:lineRule="auto"/>
              <w:jc w:val="center"/>
            </w:pPr>
            <w:r>
              <w:rPr>
                <w:rFonts w:ascii="바탕" w:hAnsi="바탕" w:eastAsia="바탕"/>
                <w:b w:val="0"/>
                <w:i w:val="0"/>
                <w:sz w:val="18"/>
              </w:rPr>
              <w:t>-200 [-201, -156]</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9196"/>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9196"/>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5. MountainCar-v0의 에피소드당 행동 횟수 (IQM)</w:t>
      </w:r>
    </w:p>
    <w:p>
      <w:pPr>
        <w:spacing w:line="276" w:lineRule="auto" w:before="0" w:after="60"/>
        <w:jc w:val="center"/>
      </w:pPr>
      <w:r>
        <w:rPr>
          <w:rFonts w:ascii="맑은 고딕" w:hAnsi="맑은 고딕" w:eastAsia="맑은 고딕"/>
          <w:b w:val="0"/>
          <w:i/>
          <w:sz w:val="18"/>
        </w:rPr>
        <w:t>Table 5.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124</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150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130</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102</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148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126</w:t>
            </w:r>
          </w:p>
        </w:tc>
        <w:tc>
          <w:tcPr>
            <w:tcW w:type="dxa" w:w="1512"/>
          </w:tcPr>
          <w:p>
            <w:pPr>
              <w:spacing w:line="240" w:lineRule="auto"/>
              <w:jc w:val="center"/>
            </w:pPr>
            <w:r>
              <w:rPr>
                <w:rFonts w:ascii="바탕" w:hAnsi="바탕" w:eastAsia="바탕"/>
                <w:b w:val="0"/>
                <w:i w:val="0"/>
                <w:sz w:val="18"/>
              </w:rPr>
              <w:t>127</w:t>
            </w:r>
          </w:p>
        </w:tc>
        <w:tc>
          <w:tcPr>
            <w:tcW w:type="dxa" w:w="1512"/>
          </w:tcPr>
          <w:p>
            <w:pPr>
              <w:spacing w:line="240" w:lineRule="auto"/>
              <w:jc w:val="center"/>
            </w:pPr>
            <w:r>
              <w:rPr>
                <w:rFonts w:ascii="바탕" w:hAnsi="바탕" w:eastAsia="바탕"/>
                <w:b w:val="0"/>
                <w:i w:val="0"/>
                <w:sz w:val="18"/>
              </w:rPr>
              <w:t>122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124</w:t>
            </w:r>
          </w:p>
        </w:tc>
        <w:tc>
          <w:tcPr>
            <w:tcW w:type="dxa" w:w="1512"/>
          </w:tcPr>
          <w:p>
            <w:pPr>
              <w:spacing w:line="240" w:lineRule="auto"/>
              <w:jc w:val="center"/>
            </w:pPr>
            <w:r>
              <w:rPr>
                <w:rFonts w:ascii="바탕" w:hAnsi="바탕" w:eastAsia="바탕"/>
                <w:b w:val="0"/>
                <w:i w:val="0"/>
                <w:sz w:val="18"/>
              </w:rPr>
              <w:t>66</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보상이 조밀한 제어 문제다. 매 스텝 자세·속도·연료에 대한 신호가 들어오고, 표준 DQN이 정상적으로 학습된다. 고정 규칙은 착륙은 시키지만 점수가 낮다. 조건당 환경 200,000스텝, 학습 계열은 λ 8개(격자 8개 중) · 시드 10개까지 완료된 집계다.</w:t>
      </w:r>
    </w:p>
    <w:p>
      <w:pPr>
        <w:spacing w:line="276" w:lineRule="auto" w:before="200" w:after="40"/>
        <w:jc w:val="center"/>
      </w:pPr>
      <w:r>
        <w:rPr>
          <w:rFonts w:ascii="맑은 고딕" w:hAnsi="맑은 고딕" w:eastAsia="맑은 고딕"/>
          <w:b/>
          <w:i w:val="0"/>
          <w:sz w:val="19"/>
        </w:rPr>
        <w:t>표 6. LunarLander-v3의 비용 반영 총보상 r′ — IQM [95% 신뢰구간]</w:t>
      </w:r>
    </w:p>
    <w:p>
      <w:pPr>
        <w:spacing w:line="276" w:lineRule="auto" w:before="0" w:after="60"/>
        <w:jc w:val="center"/>
      </w:pPr>
      <w:r>
        <w:rPr>
          <w:rFonts w:ascii="맑은 고딕" w:hAnsi="맑은 고딕" w:eastAsia="맑은 고딕"/>
          <w:b w:val="0"/>
          <w:i/>
          <w:sz w:val="18"/>
        </w:rPr>
        <w:t>Table 6. Cost-adjusted return r′ on LunarLander-v3 (IQM [95% CI])</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296"/>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296"/>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296"/>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296"/>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296"/>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296"/>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 [-2, 1]</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296"/>
          </w:tcPr>
          <w:p>
            <w:pPr>
              <w:spacing w:line="240" w:lineRule="auto"/>
              <w:jc w:val="center"/>
            </w:pPr>
            <w:r>
              <w:rPr>
                <w:rFonts w:ascii="바탕" w:hAnsi="바탕" w:eastAsia="바탕"/>
                <w:b w:val="0"/>
                <w:i w:val="0"/>
                <w:sz w:val="18"/>
              </w:rPr>
              <w:t>59 [-4, 129]</w:t>
            </w:r>
          </w:p>
        </w:tc>
        <w:tc>
          <w:tcPr>
            <w:tcW w:type="dxa" w:w="1296"/>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-37 [-39, -35]</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-13 [-57, 35]</w:t>
            </w:r>
          </w:p>
        </w:tc>
        <w:tc>
          <w:tcPr>
            <w:tcW w:type="dxa" w:w="1296"/>
          </w:tcPr>
          <w:p>
            <w:pPr>
              <w:spacing w:line="240" w:lineRule="auto"/>
              <w:jc w:val="center"/>
            </w:pPr>
            <w:r>
              <w:rPr>
                <w:rFonts w:ascii="바탕" w:hAnsi="바탕" w:eastAsia="바탕"/>
                <w:b w:val="0"/>
                <w:i w:val="0"/>
                <w:sz w:val="18"/>
              </w:rPr>
              <w:t>-34 [-129, 24]</w:t>
            </w:r>
          </w:p>
        </w:tc>
        <w:tc>
          <w:tcPr>
            <w:tcW w:type="dxa" w:w="1296"/>
          </w:tcPr>
          <w:p>
            <w:pPr>
              <w:spacing w:line="240" w:lineRule="auto"/>
              <w:jc w:val="center"/>
            </w:pPr>
            <w:r>
              <w:rPr>
                <w:rFonts w:ascii="바탕" w:hAnsi="바탕" w:eastAsia="바탕"/>
                <w:b w:val="0"/>
                <w:i w:val="0"/>
                <w:sz w:val="18"/>
              </w:rPr>
              <w:t>37 [-42, 66]</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-86 [-87, -84]</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-61 [-86, -34]</w:t>
            </w:r>
          </w:p>
        </w:tc>
        <w:tc>
          <w:tcPr>
            <w:tcW w:type="dxa" w:w="1296"/>
          </w:tcPr>
          <w:p>
            <w:pPr>
              <w:spacing w:line="240" w:lineRule="auto"/>
              <w:jc w:val="center"/>
            </w:pPr>
            <w:r>
              <w:rPr>
                <w:rFonts w:ascii="바탕" w:hAnsi="바탕" w:eastAsia="바탕"/>
                <w:b w:val="0"/>
                <w:i w:val="0"/>
                <w:sz w:val="18"/>
              </w:rPr>
              <w:t>-52 [-98, -7]</w:t>
            </w:r>
          </w:p>
        </w:tc>
        <w:tc>
          <w:tcPr>
            <w:tcW w:type="dxa" w:w="1296"/>
          </w:tcPr>
          <w:p>
            <w:pPr>
              <w:spacing w:line="240" w:lineRule="auto"/>
              <w:jc w:val="center"/>
            </w:pPr>
            <w:r>
              <w:rPr>
                <w:rFonts w:ascii="바탕" w:hAnsi="바탕" w:eastAsia="바탕"/>
                <w:b w:val="0"/>
                <w:i w:val="0"/>
                <w:sz w:val="18"/>
              </w:rPr>
              <w:t>-47 [-68, -26]</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-134 [-152, -115]</w:t>
            </w:r>
          </w:p>
        </w:tc>
        <w:tc>
          <w:tcPr>
            <w:tcW w:type="dxa" w:w="1296"/>
          </w:tcPr>
          <w:p>
            <w:pPr>
              <w:spacing w:line="240" w:lineRule="auto"/>
              <w:jc w:val="center"/>
            </w:pPr>
            <w:r>
              <w:rPr>
                <w:rFonts w:ascii="바탕" w:hAnsi="바탕" w:eastAsia="바탕"/>
                <w:b w:val="0"/>
                <w:i w:val="0"/>
                <w:sz w:val="18"/>
              </w:rPr>
              <w:t>-153 [-237, -128]</w:t>
            </w:r>
          </w:p>
        </w:tc>
        <w:tc>
          <w:tcPr>
            <w:tcW w:type="dxa" w:w="1296"/>
          </w:tcPr>
          <w:p>
            <w:pPr>
              <w:spacing w:line="240" w:lineRule="auto"/>
              <w:jc w:val="center"/>
            </w:pPr>
            <w:r>
              <w:rPr>
                <w:rFonts w:ascii="바탕" w:hAnsi="바탕" w:eastAsia="바탕"/>
                <w:b w:val="0"/>
                <w:i w:val="0"/>
                <w:sz w:val="18"/>
              </w:rPr>
              <w:t>-157 [-224, -110]</w:t>
            </w:r>
          </w:p>
        </w:tc>
        <w:tc>
          <w:tcPr>
            <w:tcW w:type="dxa" w:w="1296"/>
          </w:tcPr>
          <w:p>
            <w:pPr>
              <w:spacing w:line="240" w:lineRule="auto"/>
              <w:jc w:val="center"/>
            </w:pPr>
            <w:r>
              <w:rPr>
                <w:rFonts w:ascii="바탕" w:hAnsi="바탕" w:eastAsia="바탕"/>
                <w:b w:val="0"/>
                <w:i w:val="0"/>
                <w:sz w:val="18"/>
              </w:rPr>
              <w:t>-207 [-209, -205]</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-210 [-330, -148]</w:t>
            </w:r>
          </w:p>
        </w:tc>
        <w:tc>
          <w:tcPr>
            <w:tcW w:type="dxa" w:w="1296"/>
          </w:tcPr>
          <w:p>
            <w:pPr>
              <w:spacing w:line="240" w:lineRule="auto"/>
              <w:jc w:val="center"/>
            </w:pPr>
            <w:r>
              <w:rPr>
                <w:rFonts w:ascii="바탕" w:hAnsi="바탕" w:eastAsia="바탕"/>
                <w:b w:val="0"/>
                <w:i w:val="0"/>
                <w:sz w:val="18"/>
              </w:rPr>
              <w:t>-286 [-341, -205]</w:t>
            </w:r>
          </w:p>
        </w:tc>
        <w:tc>
          <w:tcPr>
            <w:tcW w:type="dxa" w:w="1296"/>
          </w:tcPr>
          <w:p>
            <w:pPr>
              <w:spacing w:line="240" w:lineRule="auto"/>
              <w:jc w:val="center"/>
            </w:pPr>
            <w:r>
              <w:rPr>
                <w:rFonts w:ascii="바탕" w:hAnsi="바탕" w:eastAsia="바탕"/>
                <w:b w:val="0"/>
                <w:i w:val="0"/>
                <w:sz w:val="18"/>
              </w:rPr>
              <w:t>-175 [-267, -137]</w:t>
            </w:r>
          </w:p>
        </w:tc>
        <w:tc>
          <w:tcPr>
            <w:tcW w:type="dxa" w:w="1296"/>
          </w:tcPr>
          <w:p>
            <w:pPr>
              <w:spacing w:line="240" w:lineRule="auto"/>
              <w:jc w:val="center"/>
            </w:pPr>
            <w:r>
              <w:rPr>
                <w:rFonts w:ascii="바탕" w:hAnsi="바탕" w:eastAsia="바탕"/>
                <w:b w:val="0"/>
                <w:i w:val="0"/>
                <w:sz w:val="18"/>
              </w:rPr>
              <w:t>-328 [-331, -327]</w:t>
            </w:r>
          </w:p>
        </w:tc>
        <w:tc>
          <w:tcPr>
            <w:tcW w:type="dxa" w:w="1296"/>
          </w:tcPr>
          <w:p>
            <w:pPr>
              <w:spacing w:line="240" w:lineRule="auto"/>
              <w:jc w:val="center"/>
            </w:pPr>
            <w:r>
              <w:rPr>
                <w:rFonts w:ascii="바탕" w:hAnsi="바탕" w:eastAsia="바탕"/>
                <w:b w:val="0"/>
                <w:i w:val="0"/>
                <w:sz w:val="18"/>
              </w:rPr>
              <w:t>-131 [-133, -129]</w:t>
            </w:r>
          </w:p>
        </w:tc>
        <w:tc>
          <w:tcPr>
            <w:tcW w:type="dxa" w:w="1296"/>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비교된 λ 구간 전체(8/8 λ)에서 임계값 규칙을 이겼다.</w:t>
      </w:r>
    </w:p>
    <w:p>
      <w:pPr>
        <w:spacing w:line="480" w:lineRule="auto" w:before="0" w:after="0"/>
        <w:ind w:left="340" w:hanging="198"/>
      </w:pPr>
      <w:r>
        <w:rPr>
          <w:rFonts w:ascii="바탕" w:hAnsi="바탕" w:eastAsia="바탕"/>
          <w:b w:val="0"/>
          <w:i w:val="0"/>
          <w:sz w:val="20"/>
        </w:rPr>
        <w:t>· Lazy-MDP는 비교된 λ 구간 전체(8/8 λ)에서 임계값 규칙을 이겼다.</w:t>
      </w:r>
    </w:p>
    <w:p>
      <w:pPr>
        <w:spacing w:line="480" w:lineRule="auto" w:before="0" w:after="0"/>
        <w:ind w:left="340" w:hanging="198"/>
      </w:pPr>
      <w:r>
        <w:rPr>
          <w:rFonts w:ascii="바탕" w:hAnsi="바탕" w:eastAsia="바탕"/>
          <w:b w:val="0"/>
          <w:i w:val="0"/>
          <w:sz w:val="20"/>
        </w:rPr>
        <w:t>· TempoRL은 비교된 λ 구간 전체(8/8 λ)에서 임계값 규칙을 이겼다.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λ=2, Lazy-MDP λ=2, TempoRL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7. LunarLander-v3의 에피소드당 행동 횟수 (IQM)</w:t>
      </w:r>
    </w:p>
    <w:p>
      <w:pPr>
        <w:spacing w:line="276" w:lineRule="auto" w:before="0" w:after="60"/>
        <w:jc w:val="center"/>
      </w:pPr>
      <w:r>
        <w:rPr>
          <w:rFonts w:ascii="맑은 고딕" w:hAnsi="맑은 고딕" w:eastAsia="맑은 고딕"/>
          <w:b w:val="0"/>
          <w:i/>
          <w:sz w:val="18"/>
        </w:rPr>
        <w:t>Table 7. Actions per episode on LunarLander-v3 (IQM)</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표준 DQN</w:t>
            </w:r>
          </w:p>
        </w:tc>
        <w:tc>
          <w:tcPr>
            <w:tcW w:type="dxa" w:w="1296"/>
            <w:shd w:val="clear" w:color="auto" w:fill="EDEDED"/>
          </w:tcPr>
          <w:p>
            <w:pPr>
              <w:spacing w:line="240" w:lineRule="auto"/>
              <w:jc w:val="center"/>
            </w:pPr>
            <w:r/>
            <w:r>
              <w:rPr>
                <w:rFonts w:ascii="맑은 고딕" w:hAnsi="맑은 고딕" w:eastAsia="맑은 고딕"/>
                <w:b/>
                <w:i w:val="0"/>
                <w:sz w:val="18"/>
              </w:rPr>
              <w:t>TempoRL</w:t>
            </w:r>
          </w:p>
        </w:tc>
        <w:tc>
          <w:tcPr>
            <w:tcW w:type="dxa" w:w="1296"/>
            <w:shd w:val="clear" w:color="auto" w:fill="EDEDED"/>
          </w:tcPr>
          <w:p>
            <w:pPr>
              <w:spacing w:line="240" w:lineRule="auto"/>
              <w:jc w:val="center"/>
            </w:pPr>
            <w:r/>
            <w:r>
              <w:rPr>
                <w:rFonts w:ascii="맑은 고딕" w:hAnsi="맑은 고딕" w:eastAsia="맑은 고딕"/>
                <w:b/>
                <w:i w:val="0"/>
                <w:sz w:val="18"/>
              </w:rPr>
              <w:t>Lazy-MDP</w:t>
            </w:r>
          </w:p>
        </w:tc>
        <w:tc>
          <w:tcPr>
            <w:tcW w:type="dxa" w:w="1296"/>
            <w:shd w:val="clear" w:color="auto" w:fill="EDEDED"/>
          </w:tcPr>
          <w:p>
            <w:pPr>
              <w:spacing w:line="240" w:lineRule="auto"/>
              <w:jc w:val="center"/>
            </w:pPr>
            <w:r/>
            <w:r>
              <w:rPr>
                <w:rFonts w:ascii="맑은 고딕" w:hAnsi="맑은 고딕" w:eastAsia="맑은 고딕"/>
                <w:b/>
                <w:i w:val="0"/>
                <w:sz w:val="18"/>
              </w:rPr>
              <w:t>임계값 규칙</w:t>
            </w:r>
          </w:p>
        </w:tc>
        <w:tc>
          <w:tcPr>
            <w:tcW w:type="dxa" w:w="1296"/>
            <w:shd w:val="clear" w:color="auto" w:fill="EDEDED"/>
          </w:tcPr>
          <w:p>
            <w:pPr>
              <w:spacing w:line="240" w:lineRule="auto"/>
              <w:jc w:val="center"/>
            </w:pPr>
            <w:r/>
            <w:r>
              <w:rPr>
                <w:rFonts w:ascii="맑은 고딕" w:hAnsi="맑은 고딕" w:eastAsia="맑은 고딕"/>
                <w:b/>
                <w:i w:val="0"/>
                <w:sz w:val="18"/>
              </w:rPr>
              <w:t>최강 규칙</w:t>
            </w:r>
          </w:p>
        </w:tc>
        <w:tc>
          <w:tcPr>
            <w:tcW w:type="dxa" w:w="1296"/>
            <w:shd w:val="clear" w:color="auto" w:fill="EDEDED"/>
          </w:tcPr>
          <w:p>
            <w:pPr>
              <w:spacing w:line="240" w:lineRule="auto"/>
              <w:jc w:val="center"/>
            </w:pPr>
            <w:r/>
            <w:r>
              <w:rPr>
                <w:rFonts w:ascii="맑은 고딕" w:hAnsi="맑은 고딕" w:eastAsia="맑은 고딕"/>
                <w:b/>
                <w:i w:val="0"/>
                <w:sz w:val="18"/>
              </w:rPr>
              <w:t>무행동</w:t>
            </w:r>
          </w:p>
        </w:tc>
      </w:tr>
      <w:tr>
        <w:tc>
          <w:tcPr>
            <w:tcW w:type="dxa" w:w="1296"/>
          </w:tcPr>
          <w:p>
            <w:pPr>
              <w:spacing w:line="240" w:lineRule="auto"/>
              <w:jc w:val="left"/>
            </w:pPr>
            <w:r>
              <w:rPr>
                <w:rFonts w:ascii="바탕" w:hAnsi="바탕" w:eastAsia="바탕"/>
                <w:b/>
                <w:i w:val="0"/>
                <w:sz w:val="18"/>
              </w:rPr>
              <w:t>0</w:t>
            </w:r>
          </w:p>
        </w:tc>
        <w:tc>
          <w:tcPr>
            <w:tcW w:type="dxa" w:w="1296"/>
          </w:tcPr>
          <w:p>
            <w:pPr>
              <w:spacing w:line="240" w:lineRule="auto"/>
              <w:jc w:val="center"/>
            </w:pPr>
            <w:r>
              <w:rPr>
                <w:rFonts w:ascii="바탕" w:hAnsi="바탕" w:eastAsia="바탕"/>
                <w:b w:val="0"/>
                <w:i w:val="0"/>
                <w:sz w:val="18"/>
              </w:rPr>
              <w:t>341</w:t>
            </w:r>
          </w:p>
        </w:tc>
        <w:tc>
          <w:tcPr>
            <w:tcW w:type="dxa" w:w="1296"/>
          </w:tcPr>
          <w:p>
            <w:pPr>
              <w:spacing w:line="240" w:lineRule="auto"/>
              <w:jc w:val="center"/>
            </w:pPr>
            <w:r>
              <w:rPr>
                <w:rFonts w:ascii="바탕" w:hAnsi="바탕" w:eastAsia="바탕"/>
                <w:b w:val="0"/>
                <w:i w:val="0"/>
                <w:sz w:val="18"/>
              </w:rPr>
              <w:t>406</w:t>
            </w:r>
          </w:p>
        </w:tc>
        <w:tc>
          <w:tcPr>
            <w:tcW w:type="dxa" w:w="1296"/>
          </w:tcPr>
          <w:p>
            <w:pPr>
              <w:spacing w:line="240" w:lineRule="auto"/>
              <w:jc w:val="center"/>
            </w:pPr>
            <w:r>
              <w:rPr>
                <w:rFonts w:ascii="바탕" w:hAnsi="바탕" w:eastAsia="바탕"/>
                <w:b w:val="0"/>
                <w:i w:val="0"/>
                <w:sz w:val="18"/>
              </w:rPr>
              <w:t>247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0.1</w:t>
            </w:r>
          </w:p>
        </w:tc>
        <w:tc>
          <w:tcPr>
            <w:tcW w:type="dxa" w:w="1296"/>
          </w:tcPr>
          <w:p>
            <w:pPr>
              <w:spacing w:line="240" w:lineRule="auto"/>
              <w:jc w:val="center"/>
            </w:pPr>
            <w:r>
              <w:rPr>
                <w:rFonts w:ascii="바탕" w:hAnsi="바탕" w:eastAsia="바탕"/>
                <w:b w:val="0"/>
                <w:i w:val="0"/>
                <w:sz w:val="18"/>
              </w:rPr>
              <w:t>222</w:t>
            </w:r>
          </w:p>
        </w:tc>
        <w:tc>
          <w:tcPr>
            <w:tcW w:type="dxa" w:w="1296"/>
          </w:tcPr>
          <w:p>
            <w:pPr>
              <w:spacing w:line="240" w:lineRule="auto"/>
              <w:jc w:val="center"/>
            </w:pPr>
            <w:r>
              <w:rPr>
                <w:rFonts w:ascii="바탕" w:hAnsi="바탕" w:eastAsia="바탕"/>
                <w:b w:val="0"/>
                <w:i w:val="0"/>
                <w:sz w:val="18"/>
              </w:rPr>
              <w:t>393</w:t>
            </w:r>
          </w:p>
        </w:tc>
        <w:tc>
          <w:tcPr>
            <w:tcW w:type="dxa" w:w="1296"/>
          </w:tcPr>
          <w:p>
            <w:pPr>
              <w:spacing w:line="240" w:lineRule="auto"/>
              <w:jc w:val="center"/>
            </w:pPr>
            <w:r>
              <w:rPr>
                <w:rFonts w:ascii="바탕" w:hAnsi="바탕" w:eastAsia="바탕"/>
                <w:b w:val="0"/>
                <w:i w:val="0"/>
                <w:sz w:val="18"/>
              </w:rPr>
              <w:t>184</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0.3</w:t>
            </w:r>
          </w:p>
        </w:tc>
        <w:tc>
          <w:tcPr>
            <w:tcW w:type="dxa" w:w="1296"/>
          </w:tcPr>
          <w:p>
            <w:pPr>
              <w:spacing w:line="240" w:lineRule="auto"/>
              <w:jc w:val="center"/>
            </w:pPr>
            <w:r>
              <w:rPr>
                <w:rFonts w:ascii="바탕" w:hAnsi="바탕" w:eastAsia="바탕"/>
                <w:b w:val="0"/>
                <w:i w:val="0"/>
                <w:sz w:val="18"/>
              </w:rPr>
              <w:t>177</w:t>
            </w:r>
          </w:p>
        </w:tc>
        <w:tc>
          <w:tcPr>
            <w:tcW w:type="dxa" w:w="1296"/>
          </w:tcPr>
          <w:p>
            <w:pPr>
              <w:spacing w:line="240" w:lineRule="auto"/>
              <w:jc w:val="center"/>
            </w:pPr>
            <w:r>
              <w:rPr>
                <w:rFonts w:ascii="바탕" w:hAnsi="바탕" w:eastAsia="바탕"/>
                <w:b w:val="0"/>
                <w:i w:val="0"/>
                <w:sz w:val="18"/>
              </w:rPr>
              <w:t>261</w:t>
            </w:r>
          </w:p>
        </w:tc>
        <w:tc>
          <w:tcPr>
            <w:tcW w:type="dxa" w:w="1296"/>
          </w:tcPr>
          <w:p>
            <w:pPr>
              <w:spacing w:line="240" w:lineRule="auto"/>
              <w:jc w:val="center"/>
            </w:pPr>
            <w:r>
              <w:rPr>
                <w:rFonts w:ascii="바탕" w:hAnsi="바탕" w:eastAsia="바탕"/>
                <w:b w:val="0"/>
                <w:i w:val="0"/>
                <w:sz w:val="18"/>
              </w:rPr>
              <w:t>151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0.6</w:t>
            </w:r>
          </w:p>
        </w:tc>
        <w:tc>
          <w:tcPr>
            <w:tcW w:type="dxa" w:w="1296"/>
          </w:tcPr>
          <w:p>
            <w:pPr>
              <w:spacing w:line="240" w:lineRule="auto"/>
              <w:jc w:val="center"/>
            </w:pPr>
            <w:r>
              <w:rPr>
                <w:rFonts w:ascii="바탕" w:hAnsi="바탕" w:eastAsia="바탕"/>
                <w:b w:val="0"/>
                <w:i w:val="0"/>
                <w:sz w:val="18"/>
              </w:rPr>
              <w:t>156</w:t>
            </w:r>
          </w:p>
        </w:tc>
        <w:tc>
          <w:tcPr>
            <w:tcW w:type="dxa" w:w="1296"/>
          </w:tcPr>
          <w:p>
            <w:pPr>
              <w:spacing w:line="240" w:lineRule="auto"/>
              <w:jc w:val="center"/>
            </w:pPr>
            <w:r>
              <w:rPr>
                <w:rFonts w:ascii="바탕" w:hAnsi="바탕" w:eastAsia="바탕"/>
                <w:b w:val="0"/>
                <w:i w:val="0"/>
                <w:sz w:val="18"/>
              </w:rPr>
              <w:t>210</w:t>
            </w:r>
          </w:p>
        </w:tc>
        <w:tc>
          <w:tcPr>
            <w:tcW w:type="dxa" w:w="1296"/>
          </w:tcPr>
          <w:p>
            <w:pPr>
              <w:spacing w:line="240" w:lineRule="auto"/>
              <w:jc w:val="center"/>
            </w:pPr>
            <w:r>
              <w:rPr>
                <w:rFonts w:ascii="바탕" w:hAnsi="바탕" w:eastAsia="바탕"/>
                <w:b w:val="0"/>
                <w:i w:val="0"/>
                <w:sz w:val="18"/>
              </w:rPr>
              <w:t>139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w:t>
            </w:r>
          </w:p>
        </w:tc>
        <w:tc>
          <w:tcPr>
            <w:tcW w:type="dxa" w:w="1296"/>
          </w:tcPr>
          <w:p>
            <w:pPr>
              <w:spacing w:line="240" w:lineRule="auto"/>
              <w:jc w:val="center"/>
            </w:pPr>
            <w:r>
              <w:rPr>
                <w:rFonts w:ascii="바탕" w:hAnsi="바탕" w:eastAsia="바탕"/>
                <w:b w:val="0"/>
                <w:i w:val="0"/>
                <w:sz w:val="18"/>
              </w:rPr>
              <w:t>144</w:t>
            </w:r>
          </w:p>
        </w:tc>
        <w:tc>
          <w:tcPr>
            <w:tcW w:type="dxa" w:w="1296"/>
          </w:tcPr>
          <w:p>
            <w:pPr>
              <w:spacing w:line="240" w:lineRule="auto"/>
              <w:jc w:val="center"/>
            </w:pPr>
            <w:r>
              <w:rPr>
                <w:rFonts w:ascii="바탕" w:hAnsi="바탕" w:eastAsia="바탕"/>
                <w:b w:val="0"/>
                <w:i w:val="0"/>
                <w:sz w:val="18"/>
              </w:rPr>
              <w:t>218</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1.37</w:t>
            </w:r>
          </w:p>
        </w:tc>
        <w:tc>
          <w:tcPr>
            <w:tcW w:type="dxa" w:w="1296"/>
          </w:tcPr>
          <w:p>
            <w:pPr>
              <w:spacing w:line="240" w:lineRule="auto"/>
              <w:jc w:val="center"/>
            </w:pPr>
            <w:r>
              <w:rPr>
                <w:rFonts w:ascii="바탕" w:hAnsi="바탕" w:eastAsia="바탕"/>
                <w:b w:val="0"/>
                <w:i w:val="0"/>
                <w:sz w:val="18"/>
              </w:rPr>
              <w:t>149</w:t>
            </w:r>
          </w:p>
        </w:tc>
        <w:tc>
          <w:tcPr>
            <w:tcW w:type="dxa" w:w="1296"/>
          </w:tcPr>
          <w:p>
            <w:pPr>
              <w:spacing w:line="240" w:lineRule="auto"/>
              <w:jc w:val="center"/>
            </w:pPr>
            <w:r>
              <w:rPr>
                <w:rFonts w:ascii="바탕" w:hAnsi="바탕" w:eastAsia="바탕"/>
                <w:b w:val="0"/>
                <w:i w:val="0"/>
                <w:sz w:val="18"/>
              </w:rPr>
              <w:t>135</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2</w:t>
            </w:r>
          </w:p>
        </w:tc>
        <w:tc>
          <w:tcPr>
            <w:tcW w:type="dxa" w:w="1296"/>
          </w:tcPr>
          <w:p>
            <w:pPr>
              <w:spacing w:line="240" w:lineRule="auto"/>
              <w:jc w:val="center"/>
            </w:pPr>
            <w:r>
              <w:rPr>
                <w:rFonts w:ascii="바탕" w:hAnsi="바탕" w:eastAsia="바탕"/>
                <w:b w:val="0"/>
                <w:i w:val="0"/>
                <w:sz w:val="18"/>
              </w:rPr>
              <w:t>112</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118</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r>
        <w:tc>
          <w:tcPr>
            <w:tcW w:type="dxa" w:w="1296"/>
          </w:tcPr>
          <w:p>
            <w:pPr>
              <w:spacing w:line="240" w:lineRule="auto"/>
              <w:jc w:val="left"/>
            </w:pPr>
            <w:r>
              <w:rPr>
                <w:rFonts w:ascii="바탕" w:hAnsi="바탕" w:eastAsia="바탕"/>
                <w:b/>
                <w:i w:val="0"/>
                <w:sz w:val="18"/>
              </w:rPr>
              <w:t>3</w:t>
            </w:r>
          </w:p>
        </w:tc>
        <w:tc>
          <w:tcPr>
            <w:tcW w:type="dxa" w:w="1296"/>
          </w:tcPr>
          <w:p>
            <w:pPr>
              <w:spacing w:line="240" w:lineRule="auto"/>
              <w:jc w:val="center"/>
            </w:pPr>
            <w:r>
              <w:rPr>
                <w:rFonts w:ascii="바탕" w:hAnsi="바탕" w:eastAsia="바탕"/>
                <w:b w:val="0"/>
                <w:i w:val="0"/>
                <w:sz w:val="18"/>
              </w:rPr>
              <w:t>63</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37</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276" w:lineRule="auto" w:before="200" w:after="40"/>
        <w:jc w:val="center"/>
      </w:pPr>
      <w:r>
        <w:rPr>
          <w:rFonts w:ascii="맑은 고딕" w:hAnsi="맑은 고딕" w:eastAsia="맑은 고딕"/>
          <w:b/>
          <w:i w:val="0"/>
          <w:sz w:val="19"/>
        </w:rPr>
        <w:t>표 8. 무행동 붕괴의 세 문턱 — 성능이 먼저 무너지고 행동이 나중에 멈춘다</w:t>
      </w:r>
    </w:p>
    <w:p>
      <w:pPr>
        <w:spacing w:line="276" w:lineRule="auto" w:before="0" w:after="60"/>
        <w:jc w:val="center"/>
      </w:pPr>
      <w:r>
        <w:rPr>
          <w:rFonts w:ascii="맑은 고딕" w:hAnsi="맑은 고딕" w:eastAsia="맑은 고딕"/>
          <w:b w:val="0"/>
          <w:i/>
          <w:sz w:val="18"/>
        </w:rPr>
        <w:t>Table 8.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DEDED"/>
          </w:tcPr>
          <w:p>
            <w:pPr>
              <w:spacing w:line="240" w:lineRule="auto"/>
              <w:jc w:val="center"/>
            </w:pPr>
            <w:r/>
            <w:r>
              <w:rPr>
                <w:rFonts w:ascii="맑은 고딕" w:hAnsi="맑은 고딕" w:eastAsia="맑은 고딕"/>
                <w:b/>
                <w:i w:val="0"/>
                <w:sz w:val="18"/>
              </w:rPr>
              <w:t>계열</w:t>
            </w:r>
          </w:p>
        </w:tc>
        <w:tc>
          <w:tcPr>
            <w:tcW w:type="dxa" w:w="1814"/>
            <w:shd w:val="clear" w:color="auto" w:fill="EDEDED"/>
          </w:tcPr>
          <w:p>
            <w:pPr>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spacing w:line="240" w:lineRule="auto"/>
              <w:jc w:val="center"/>
            </w:pPr>
            <w:r/>
            <w:r>
              <w:rPr>
                <w:rFonts w:ascii="맑은 고딕" w:hAnsi="맑은 고딕" w:eastAsia="맑은 고딕"/>
                <w:b/>
                <w:i w:val="0"/>
                <w:sz w:val="18"/>
              </w:rPr>
              <w:t>λ=0 기준값</w:t>
            </w:r>
          </w:p>
        </w:tc>
      </w:tr>
      <w:tr>
        <w:tc>
          <w:tcPr>
            <w:tcW w:type="dxa" w:w="1814"/>
          </w:tcPr>
          <w:p>
            <w:pPr>
              <w:spacing w:line="240" w:lineRule="auto"/>
              <w:jc w:val="left"/>
            </w:pPr>
            <w:r>
              <w:rPr>
                <w:rFonts w:ascii="바탕" w:hAnsi="바탕" w:eastAsia="바탕"/>
                <w:b w:val="0"/>
                <w:i w:val="0"/>
                <w:sz w:val="18"/>
              </w:rPr>
              <w:t>표준 DQN</w:t>
            </w:r>
          </w:p>
        </w:tc>
        <w:tc>
          <w:tcPr>
            <w:tcW w:type="dxa" w:w="1814"/>
          </w:tcPr>
          <w:p>
            <w:pPr>
              <w:spacing w:line="240" w:lineRule="auto"/>
              <w:jc w:val="center"/>
            </w:pPr>
            <w:r>
              <w:rPr>
                <w:rFonts w:ascii="바탕" w:hAnsi="바탕" w:eastAsia="바탕"/>
                <w:b w:val="0"/>
                <w:i w:val="0"/>
                <w:sz w:val="18"/>
              </w:rPr>
              <w:t>0.003</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141회 / 62%</w:t>
            </w:r>
          </w:p>
        </w:tc>
      </w:tr>
      <w:tr>
        <w:tc>
          <w:tcPr>
            <w:tcW w:type="dxa" w:w="1814"/>
          </w:tcPr>
          <w:p>
            <w:pPr>
              <w:spacing w:line="240" w:lineRule="auto"/>
              <w:jc w:val="left"/>
            </w:pPr>
            <w:r>
              <w:rPr>
                <w:rFonts w:ascii="바탕" w:hAnsi="바탕" w:eastAsia="바탕"/>
                <w:b w:val="0"/>
                <w:i w:val="0"/>
                <w:sz w:val="18"/>
              </w:rPr>
              <w:t>TempoRL</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123회 / 86%</w:t>
            </w:r>
          </w:p>
        </w:tc>
      </w:tr>
      <w:t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0.001</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35.8</w:t>
            </w:r>
          </w:p>
        </w:tc>
        <w:tc>
          <w:tcPr>
            <w:tcW w:type="dxa" w:w="1361"/>
          </w:tcPr>
          <w:p>
            <w:pPr>
              <w:spacing w:line="240" w:lineRule="auto"/>
              <w:jc w:val="center"/>
            </w:pPr>
            <w:r>
              <w:rPr>
                <w:rFonts w:ascii="바탕" w:hAnsi="바탕" w:eastAsia="바탕"/>
                <w:b w:val="0"/>
                <w:i w:val="0"/>
                <w:sz w:val="18"/>
              </w:rPr>
              <w:t>[34.3, 37.6]</w:t>
            </w:r>
          </w:p>
        </w:tc>
        <w:tc>
          <w:tcPr>
            <w:tcW w:type="dxa" w:w="794"/>
          </w:tcPr>
          <w:p>
            <w:pPr>
              <w:spacing w:line="240" w:lineRule="auto"/>
              <w:jc w:val="center"/>
            </w:pPr>
            <w:r>
              <w:rPr>
                <w:rFonts w:ascii="바탕" w:hAnsi="바탕" w:eastAsia="바탕"/>
                <w:b/>
                <w:i w:val="0"/>
                <w:sz w:val="18"/>
              </w:rPr>
              <w:t>100%</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네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조밀한 환경에서는 행동이 상당히 비싸질 때까지 학습이 규칙을 이겼고, 보상이 희소하고 이미 좋은 규칙이 있는 환경에서는 비용이 없을 때조차 학습이 규칙을 넘어서지 못했다.</w:t>
      </w:r>
    </w:p>
    <w:p>
      <w:pPr>
        <w:spacing w:line="480" w:lineRule="auto" w:before="0" w:after="0"/>
        <w:ind w:firstLine="200"/>
        <w:jc w:val="both"/>
      </w:pPr>
      <w:r>
        <w:rPr>
          <w:rFonts w:ascii="바탕" w:hAnsi="바탕" w:eastAsia="바탕"/>
          <w:b/>
          <w:i w:val="0"/>
          <w:sz w:val="20"/>
        </w:rPr>
        <w:t>넷째,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셋째, 무행동 붕괴가 관찰된다.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을 두었다(Ⅲ장 6.2절). [실험 대기 — 결과 나오면 확정] 결과는 Ⅳ장에 그대로 싣는다.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처음부터 비용을 물리는 것보다 낫다. 처음부터 물리면 탐험 자체가 막힌다.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t>표 10. 비용 부과 방식을 바꾸면 λ 눈금이 얼마나 달라지는가 (고정 규칙, 100 에피소드)</w:t>
      </w:r>
    </w:p>
    <w:p>
      <w:pPr>
        <w:spacing w:line="276" w:lineRule="auto" w:before="0" w:after="60"/>
        <w:jc w:val="center"/>
      </w:pPr>
      <w:r>
        <w:rPr>
          <w:rFonts w:ascii="맑은 고딕" w:hAnsi="맑은 고딕" w:eastAsia="맑은 고딕"/>
          <w:b w:val="0"/>
          <w:i/>
          <w:sz w:val="18"/>
        </w:rPr>
        <w:t>Table 10.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 / 규칙</w:t>
            </w:r>
          </w:p>
        </w:tc>
        <w:tc>
          <w:tcPr>
            <w:tcW w:type="dxa" w:w="1512"/>
            <w:shd w:val="clear" w:color="auto" w:fill="EDEDED"/>
          </w:tcPr>
          <w:p>
            <w:pPr>
              <w:spacing w:line="240" w:lineRule="auto"/>
              <w:jc w:val="center"/>
            </w:pPr>
            <w:r/>
            <w:r>
              <w:rPr>
                <w:rFonts w:ascii="맑은 고딕" w:hAnsi="맑은 고딕" w:eastAsia="맑은 고딕"/>
                <w:b/>
                <w:i w:val="0"/>
                <w:sz w:val="18"/>
              </w:rPr>
              <w:t>매 스텝 과금</w:t>
            </w:r>
          </w:p>
        </w:tc>
        <w:tc>
          <w:tcPr>
            <w:tcW w:type="dxa" w:w="1512"/>
            <w:shd w:val="clear" w:color="auto" w:fill="EDEDED"/>
          </w:tcPr>
          <w:p>
            <w:pPr>
              <w:spacing w:line="240" w:lineRule="auto"/>
              <w:jc w:val="center"/>
            </w:pPr>
            <w:r/>
            <w:r>
              <w:rPr>
                <w:rFonts w:ascii="맑은 고딕" w:hAnsi="맑은 고딕" w:eastAsia="맑은 고딕"/>
                <w:b/>
                <w:i w:val="0"/>
                <w:sz w:val="18"/>
              </w:rPr>
              <w:t>전환 과금</w:t>
            </w:r>
          </w:p>
        </w:tc>
        <w:tc>
          <w:tcPr>
            <w:tcW w:type="dxa" w:w="1512"/>
            <w:shd w:val="clear" w:color="auto" w:fill="EDEDED"/>
          </w:tcPr>
          <w:p>
            <w:pPr>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spacing w:line="240" w:lineRule="auto"/>
              <w:jc w:val="center"/>
            </w:pPr>
            <w:r/>
            <w:r>
              <w:rPr>
                <w:rFonts w:ascii="맑은 고딕" w:hAnsi="맑은 고딕" w:eastAsia="맑은 고딕"/>
                <w:b/>
                <w:i w:val="0"/>
                <w:sz w:val="18"/>
              </w:rPr>
              <w:t>λ_교차 (전환)</w:t>
            </w:r>
          </w:p>
        </w:tc>
        <w:tc>
          <w:tcPr>
            <w:tcW w:type="dxa" w:w="1512"/>
            <w:shd w:val="clear" w:color="auto" w:fill="EDEDED"/>
          </w:tcPr>
          <w:p>
            <w:pPr>
              <w:spacing w:line="240" w:lineRule="auto"/>
              <w:jc w:val="center"/>
            </w:pPr>
            <w:r/>
            <w:r>
              <w:rPr>
                <w:rFonts w:ascii="맑은 고딕" w:hAnsi="맑은 고딕" w:eastAsia="맑은 고딕"/>
                <w:b/>
                <w:i w:val="0"/>
                <w:sz w:val="18"/>
              </w:rPr>
              <w:t>배율</w:t>
            </w:r>
          </w:p>
        </w:tc>
      </w:tr>
      <w:tr>
        <w:tc>
          <w:tcPr>
            <w:tcW w:type="dxa" w:w="1512"/>
          </w:tcPr>
          <w:p>
            <w:pPr>
              <w:spacing w:line="240" w:lineRule="auto"/>
              <w:jc w:val="left"/>
            </w:pPr>
            <w:r>
              <w:rPr>
                <w:rFonts w:ascii="바탕" w:hAnsi="바탕" w:eastAsia="바탕"/>
                <w:b w:val="0"/>
                <w:i w:val="0"/>
                <w:sz w:val="18"/>
              </w:rPr>
              <w:t>MountainCar / pump</w:t>
            </w:r>
          </w:p>
        </w:tc>
        <w:tc>
          <w:tcPr>
            <w:tcW w:type="dxa" w:w="1512"/>
          </w:tcPr>
          <w:p>
            <w:pPr>
              <w:spacing w:line="240" w:lineRule="auto"/>
              <w:jc w:val="center"/>
            </w:pPr>
            <w:r>
              <w:rPr>
                <w:rFonts w:ascii="바탕" w:hAnsi="바탕" w:eastAsia="바탕"/>
                <w:b w:val="0"/>
                <w:i w:val="0"/>
                <w:sz w:val="18"/>
              </w:rPr>
              <w:t>119.2</w:t>
            </w:r>
          </w:p>
        </w:tc>
        <w:tc>
          <w:tcPr>
            <w:tcW w:type="dxa" w:w="1512"/>
          </w:tcPr>
          <w:p>
            <w:pPr>
              <w:spacing w:line="240" w:lineRule="auto"/>
              <w:jc w:val="center"/>
            </w:pPr>
            <w:r>
              <w:rPr>
                <w:rFonts w:ascii="바탕" w:hAnsi="바탕" w:eastAsia="바탕"/>
                <w:b/>
                <w:i w:val="0"/>
                <w:sz w:val="18"/>
              </w:rPr>
              <w:t>3.0</w:t>
            </w:r>
          </w:p>
        </w:tc>
        <w:tc>
          <w:tcPr>
            <w:tcW w:type="dxa" w:w="1512"/>
          </w:tcPr>
          <w:p>
            <w:pPr>
              <w:spacing w:line="240" w:lineRule="auto"/>
              <w:jc w:val="center"/>
            </w:pPr>
            <w:r>
              <w:rPr>
                <w:rFonts w:ascii="바탕" w:hAnsi="바탕" w:eastAsia="바탕"/>
                <w:b w:val="0"/>
                <w:i w:val="0"/>
                <w:sz w:val="18"/>
              </w:rPr>
              <w:t>0.673</w:t>
            </w:r>
          </w:p>
        </w:tc>
        <w:tc>
          <w:tcPr>
            <w:tcW w:type="dxa" w:w="1512"/>
          </w:tcPr>
          <w:p>
            <w:pPr>
              <w:spacing w:line="240" w:lineRule="auto"/>
              <w:jc w:val="center"/>
            </w:pPr>
            <w:r>
              <w:rPr>
                <w:rFonts w:ascii="바탕" w:hAnsi="바탕" w:eastAsia="바탕"/>
                <w:b/>
                <w:i w:val="0"/>
                <w:sz w:val="18"/>
              </w:rPr>
              <w:t>26.73</w:t>
            </w:r>
          </w:p>
        </w:tc>
        <w:tc>
          <w:tcPr>
            <w:tcW w:type="dxa" w:w="1512"/>
          </w:tcPr>
          <w:p>
            <w:pPr>
              <w:spacing w:line="240" w:lineRule="auto"/>
              <w:jc w:val="center"/>
            </w:pPr>
            <w:r>
              <w:rPr>
                <w:rFonts w:ascii="바탕" w:hAnsi="바탕" w:eastAsia="바탕"/>
                <w:b/>
                <w:i w:val="0"/>
                <w:sz w:val="18"/>
              </w:rPr>
              <w:t>39.7배</w:t>
            </w:r>
          </w:p>
        </w:tc>
      </w:tr>
      <w:tr>
        <w:tc>
          <w:tcPr>
            <w:tcW w:type="dxa" w:w="1512"/>
          </w:tcPr>
          <w:p>
            <w:pPr>
              <w:spacing w:line="240" w:lineRule="auto"/>
              <w:jc w:val="left"/>
            </w:pPr>
            <w:r>
              <w:rPr>
                <w:rFonts w:ascii="바탕" w:hAnsi="바탕" w:eastAsia="바탕"/>
                <w:b w:val="0"/>
                <w:i w:val="0"/>
                <w:sz w:val="18"/>
              </w:rPr>
              <w:t>LunarLander / 임계값</w:t>
            </w:r>
          </w:p>
        </w:tc>
        <w:tc>
          <w:tcPr>
            <w:tcW w:type="dxa" w:w="1512"/>
          </w:tcPr>
          <w:p>
            <w:pPr>
              <w:spacing w:line="240" w:lineRule="auto"/>
              <w:jc w:val="center"/>
            </w:pPr>
            <w:r>
              <w:rPr>
                <w:rFonts w:ascii="바탕" w:hAnsi="바탕" w:eastAsia="바탕"/>
                <w:b w:val="0"/>
                <w:i w:val="0"/>
                <w:sz w:val="18"/>
              </w:rPr>
              <w:t>123.7</w:t>
            </w:r>
          </w:p>
        </w:tc>
        <w:tc>
          <w:tcPr>
            <w:tcW w:type="dxa" w:w="1512"/>
          </w:tcPr>
          <w:p>
            <w:pPr>
              <w:spacing w:line="240" w:lineRule="auto"/>
              <w:jc w:val="center"/>
            </w:pPr>
            <w:r>
              <w:rPr>
                <w:rFonts w:ascii="바탕" w:hAnsi="바탕" w:eastAsia="바탕"/>
                <w:b w:val="0"/>
                <w:i w:val="0"/>
                <w:sz w:val="18"/>
              </w:rPr>
              <w:t>128.2</w:t>
            </w:r>
          </w:p>
        </w:tc>
        <w:tc>
          <w:tcPr>
            <w:tcW w:type="dxa" w:w="1512"/>
          </w:tcPr>
          <w:p>
            <w:pPr>
              <w:spacing w:line="240" w:lineRule="auto"/>
              <w:jc w:val="center"/>
            </w:pPr>
            <w:r>
              <w:rPr>
                <w:rFonts w:ascii="바탕" w:hAnsi="바탕" w:eastAsia="바탕"/>
                <w:b w:val="0"/>
                <w:i w:val="0"/>
                <w:sz w:val="18"/>
              </w:rPr>
              <w:t>1.412</w:t>
            </w:r>
          </w:p>
        </w:tc>
        <w:tc>
          <w:tcPr>
            <w:tcW w:type="dxa" w:w="1512"/>
          </w:tcPr>
          <w:p>
            <w:pPr>
              <w:spacing w:line="240" w:lineRule="auto"/>
              <w:jc w:val="center"/>
            </w:pPr>
            <w:r>
              <w:rPr>
                <w:rFonts w:ascii="바탕" w:hAnsi="바탕" w:eastAsia="바탕"/>
                <w:b w:val="0"/>
                <w:i w:val="0"/>
                <w:sz w:val="18"/>
              </w:rPr>
              <w:t>1.362</w:t>
            </w:r>
          </w:p>
        </w:tc>
        <w:tc>
          <w:tcPr>
            <w:tcW w:type="dxa" w:w="1512"/>
          </w:tcPr>
          <w:p>
            <w:pPr>
              <w:spacing w:line="240" w:lineRule="auto"/>
              <w:jc w:val="center"/>
            </w:pPr>
            <w:r>
              <w:rPr>
                <w:rFonts w:ascii="바탕" w:hAnsi="바탕" w:eastAsia="바탕"/>
                <w:b w:val="0"/>
                <w:i w:val="0"/>
                <w:sz w:val="18"/>
              </w:rPr>
              <w:t>1.0배</w:t>
            </w:r>
          </w:p>
        </w:tc>
      </w:tr>
      <w:t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