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200"/>
        <w:jc w:val="both"/>
      </w:pPr>
      <w:r>
        <w:rPr>
          <w:rFonts w:ascii="바탕" w:hAnsi="바탕" w:eastAsia="바탕"/>
          <w:b/>
          <w:i w:val="0"/>
          <w:sz w:val="20"/>
        </w:rPr>
        <w:t>r'(s, a) = r(s, a) − λ · 1[a ≠ a_noop]</w:t>
      </w:r>
    </w:p>
    <w:p>
      <w:pPr>
        <w:widowControl/>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2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w:t>
      </w:r>
    </w:p>
    <w:p>
      <w:pPr>
        <w:widowControl/>
        <w:spacing w:line="480" w:lineRule="auto" w:before="0" w:after="0"/>
        <w:ind w:firstLine="200"/>
        <w:jc w:val="both"/>
      </w:pPr>
      <w:r>
        <w:rPr>
          <w:rFonts w:ascii="바탕" w:hAnsi="바탕" w:eastAsia="바탕"/>
          <w:b w:val="0"/>
          <w:i w:val="0"/>
          <w:sz w:val="20"/>
        </w:rPr>
        <w:t>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2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2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2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200"/>
        <w:jc w:val="both"/>
      </w:pPr>
      <w:r>
        <w:rPr>
          <w:rFonts w:ascii="바탕" w:hAnsi="바탕" w:eastAsia="바탕"/>
          <w:b w:val="0"/>
          <w:i w:val="0"/>
          <w:sz w:val="20"/>
        </w:rPr>
        <w:t>지속망의 학습식은 다음과 같다.</w:t>
      </w:r>
    </w:p>
    <w:p>
      <w:pPr>
        <w:widowControl/>
        <w:spacing w:line="480" w:lineRule="auto" w:before="0" w:after="0"/>
        <w:ind w:firstLine="2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200"/>
        <w:jc w:val="both"/>
      </w:pPr>
      <w:r>
        <w:rPr>
          <w:rFonts w:ascii="바탕" w:hAnsi="바탕" w:eastAsia="바탕"/>
          <w:b w:val="0"/>
          <w:i w:val="0"/>
          <w:sz w:val="20"/>
        </w:rPr>
        <w:t xml:space="preserve">이 원칙이 실제로 결론을 바꾼 적이 있다. 시드 0 하나만 보면 TempoRL이 MountainCar에서 가장 좋았지만, 시드 10개로 재니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8315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831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2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2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2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2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2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2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2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2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3</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3</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2.5</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3</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2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2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12개(격자 12개 중) · 시드 3~10개까지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-41 [-189, 20]</w:t>
            </w:r>
          </w:p>
        </w:tc>
        <w:tc>
          <w:tcPr>
            <w:tcW w:type="dxa" w:w="1296"/>
          </w:tcPr>
          <w:p>
            <w:pPr>
              <w:spacing w:line="240" w:lineRule="auto"/>
              <w:jc w:val="center"/>
            </w:pPr>
            <w:r>
              <w:rPr>
                <w:rFonts w:ascii="바탕" w:hAnsi="바탕" w:eastAsia="바탕"/>
                <w:b w:val="0"/>
                <w:i w:val="0"/>
                <w:sz w:val="18"/>
              </w:rPr>
              <w:t>-19 [-54, 22]</w:t>
            </w:r>
          </w:p>
        </w:tc>
        <w:tc>
          <w:tcPr>
            <w:tcW w:type="dxa" w:w="1296"/>
          </w:tcPr>
          <w:p>
            <w:pPr>
              <w:spacing w:line="240" w:lineRule="auto"/>
              <w:jc w:val="center"/>
            </w:pPr>
            <w:r>
              <w:rPr>
                <w:rFonts w:ascii="바탕" w:hAnsi="바탕" w:eastAsia="바탕"/>
                <w:b w:val="0"/>
                <w:i w:val="0"/>
                <w:sz w:val="18"/>
              </w:rPr>
              <w:t>-4 [-21, 12]</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-132 [-172, -82]</w:t>
            </w:r>
          </w:p>
        </w:tc>
        <w:tc>
          <w:tcPr>
            <w:tcW w:type="dxa" w:w="1296"/>
          </w:tcPr>
          <w:p>
            <w:pPr>
              <w:spacing w:line="240" w:lineRule="auto"/>
              <w:jc w:val="center"/>
            </w:pPr>
            <w:r>
              <w:rPr>
                <w:rFonts w:ascii="바탕" w:hAnsi="바탕" w:eastAsia="바탕"/>
                <w:b w:val="0"/>
                <w:i w:val="0"/>
                <w:sz w:val="18"/>
              </w:rPr>
              <w:t>-227 [-353, -103]</w:t>
            </w:r>
          </w:p>
        </w:tc>
        <w:tc>
          <w:tcPr>
            <w:tcW w:type="dxa" w:w="1296"/>
          </w:tcPr>
          <w:p>
            <w:pPr>
              <w:spacing w:line="240" w:lineRule="auto"/>
              <w:jc w:val="center"/>
            </w:pPr>
            <w:r>
              <w:rPr>
                <w:rFonts w:ascii="바탕" w:hAnsi="바탕" w:eastAsia="바탕"/>
                <w:b w:val="0"/>
                <w:i w:val="0"/>
                <w:sz w:val="18"/>
              </w:rPr>
              <w:t>-65 [-123, -10]</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-165 [-231, -96]</w:t>
            </w:r>
          </w:p>
        </w:tc>
        <w:tc>
          <w:tcPr>
            <w:tcW w:type="dxa" w:w="1296"/>
          </w:tcPr>
          <w:p>
            <w:pPr>
              <w:spacing w:line="240" w:lineRule="auto"/>
              <w:jc w:val="center"/>
            </w:pPr>
            <w:r>
              <w:rPr>
                <w:rFonts w:ascii="바탕" w:hAnsi="바탕" w:eastAsia="바탕"/>
                <w:b w:val="0"/>
                <w:i w:val="0"/>
                <w:sz w:val="18"/>
              </w:rPr>
              <w:t>-133 [-181, -107]</w:t>
            </w:r>
          </w:p>
        </w:tc>
        <w:tc>
          <w:tcPr>
            <w:tcW w:type="dxa" w:w="1296"/>
          </w:tcPr>
          <w:p>
            <w:pPr>
              <w:spacing w:line="240" w:lineRule="auto"/>
              <w:jc w:val="center"/>
            </w:pPr>
            <w:r>
              <w:rPr>
                <w:rFonts w:ascii="바탕" w:hAnsi="바탕" w:eastAsia="바탕"/>
                <w:b w:val="0"/>
                <w:i w:val="0"/>
                <w:sz w:val="18"/>
              </w:rPr>
              <w:t>-80 [-101, -64]</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-253 [-431, -117]</w:t>
            </w:r>
          </w:p>
        </w:tc>
        <w:tc>
          <w:tcPr>
            <w:tcW w:type="dxa" w:w="1296"/>
          </w:tcPr>
          <w:p>
            <w:pPr>
              <w:spacing w:line="240" w:lineRule="auto"/>
              <w:jc w:val="center"/>
            </w:pPr>
            <w:r>
              <w:rPr>
                <w:rFonts w:ascii="바탕" w:hAnsi="바탕" w:eastAsia="바탕"/>
                <w:b w:val="0"/>
                <w:i w:val="0"/>
                <w:sz w:val="18"/>
              </w:rPr>
              <w:t>-148 [-166, -122]</w:t>
            </w:r>
          </w:p>
        </w:tc>
        <w:tc>
          <w:tcPr>
            <w:tcW w:type="dxa" w:w="1296"/>
          </w:tcPr>
          <w:p>
            <w:pPr>
              <w:spacing w:line="240" w:lineRule="auto"/>
              <w:jc w:val="center"/>
            </w:pPr>
            <w:r>
              <w:rPr>
                <w:rFonts w:ascii="바탕" w:hAnsi="바탕" w:eastAsia="바탕"/>
                <w:b w:val="0"/>
                <w:i w:val="0"/>
                <w:sz w:val="18"/>
              </w:rPr>
              <w:t>-352 [-432, -238]</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λ=2.5에서 임계값 규칙(튜닝)에 역전당했다. 통계적으로 확실한 우위는 λ=0.6에서 이미 사라졌다.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182</w:t>
            </w:r>
          </w:p>
        </w:tc>
        <w:tc>
          <w:tcPr>
            <w:tcW w:type="dxa" w:w="1134"/>
          </w:tcPr>
          <w:p>
            <w:pPr>
              <w:keepNext/>
              <w:spacing w:line="240" w:lineRule="auto"/>
              <w:jc w:val="center"/>
            </w:pPr>
            <w:r>
              <w:rPr>
                <w:rFonts w:ascii="바탕" w:hAnsi="바탕" w:eastAsia="바탕"/>
                <w:b w:val="0"/>
                <w:i w:val="0"/>
                <w:sz w:val="18"/>
              </w:rPr>
              <w:t>163</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154</w:t>
            </w:r>
          </w:p>
        </w:tc>
        <w:tc>
          <w:tcPr>
            <w:tcW w:type="dxa" w:w="1134"/>
          </w:tcPr>
          <w:p>
            <w:pPr>
              <w:keepNext/>
              <w:spacing w:line="240" w:lineRule="auto"/>
              <w:jc w:val="center"/>
            </w:pPr>
            <w:r>
              <w:rPr>
                <w:rFonts w:ascii="바탕" w:hAnsi="바탕" w:eastAsia="바탕"/>
                <w:b w:val="0"/>
                <w:i w:val="0"/>
                <w:sz w:val="18"/>
              </w:rPr>
              <w:t>195</w:t>
            </w:r>
          </w:p>
        </w:tc>
        <w:tc>
          <w:tcPr>
            <w:tcW w:type="dxa" w:w="1134"/>
          </w:tcPr>
          <w:p>
            <w:pPr>
              <w:keepNext/>
              <w:spacing w:line="240" w:lineRule="auto"/>
              <w:jc w:val="center"/>
            </w:pPr>
            <w:r>
              <w:rPr>
                <w:rFonts w:ascii="바탕" w:hAnsi="바탕" w:eastAsia="바탕"/>
                <w:b w:val="0"/>
                <w:i w:val="0"/>
                <w:sz w:val="18"/>
              </w:rPr>
              <w:t>64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129</w:t>
            </w:r>
          </w:p>
        </w:tc>
        <w:tc>
          <w:tcPr>
            <w:tcW w:type="dxa" w:w="1134"/>
          </w:tcPr>
          <w:p>
            <w:pPr>
              <w:keepNext/>
              <w:spacing w:line="240" w:lineRule="auto"/>
              <w:jc w:val="center"/>
            </w:pPr>
            <w:r>
              <w:rPr>
                <w:rFonts w:ascii="바탕" w:hAnsi="바탕" w:eastAsia="바탕"/>
                <w:b w:val="0"/>
                <w:i w:val="0"/>
                <w:sz w:val="18"/>
              </w:rPr>
              <w:t>101</w:t>
            </w:r>
          </w:p>
        </w:tc>
        <w:tc>
          <w:tcPr>
            <w:tcW w:type="dxa" w:w="1134"/>
          </w:tcPr>
          <w:p>
            <w:pPr>
              <w:keepNext/>
              <w:spacing w:line="240" w:lineRule="auto"/>
              <w:jc w:val="center"/>
            </w:pPr>
            <w:r>
              <w:rPr>
                <w:rFonts w:ascii="바탕" w:hAnsi="바탕" w:eastAsia="바탕"/>
                <w:b w:val="0"/>
                <w:i w:val="0"/>
                <w:sz w:val="18"/>
              </w:rPr>
              <w:t>100</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93</w:t>
            </w:r>
          </w:p>
        </w:tc>
        <w:tc>
          <w:tcPr>
            <w:tcW w:type="dxa" w:w="1134"/>
          </w:tcPr>
          <w:p>
            <w:pPr>
              <w:keepNext/>
              <w:spacing w:line="240" w:lineRule="auto"/>
              <w:jc w:val="center"/>
            </w:pPr>
            <w:r>
              <w:rPr>
                <w:rFonts w:ascii="바탕" w:hAnsi="바탕" w:eastAsia="바탕"/>
                <w:b w:val="0"/>
                <w:i w:val="0"/>
                <w:sz w:val="18"/>
              </w:rPr>
              <w:t>49</w:t>
            </w:r>
          </w:p>
        </w:tc>
        <w:tc>
          <w:tcPr>
            <w:tcW w:type="dxa" w:w="1134"/>
          </w:tcPr>
          <w:p>
            <w:pPr>
              <w:keepNext/>
              <w:spacing w:line="240" w:lineRule="auto"/>
              <w:jc w:val="center"/>
            </w:pPr>
            <w:r>
              <w:rPr>
                <w:rFonts w:ascii="바탕" w:hAnsi="바탕" w:eastAsia="바탕"/>
                <w:b w:val="0"/>
                <w:i w:val="0"/>
                <w:sz w:val="18"/>
              </w:rPr>
              <w:t>159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widowControl/>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2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2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2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5는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5" name="Picture 5"/>
            <wp:cNvGraphicFramePr>
              <a:graphicFrameLocks noChangeAspect="1"/>
            </wp:cNvGraphicFramePr>
            <a:graphic>
              <a:graphicData uri="http://schemas.openxmlformats.org/drawingml/2006/picture">
                <pic:pic>
                  <pic:nvPicPr>
                    <pic:cNvPr id="0" name="fig5_fairness_curves_MountainCar-v0.png"/>
                    <pic:cNvPicPr/>
                  </pic:nvPicPr>
                  <pic:blipFill>
                    <a:blip r:embed="rId14"/>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5.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2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멈추는 것은 그보다 3~10배 비싸진 뒤다. 즉 에이전트는 시도를 멈추는 것이 아니라 성공을 멈춘다.</w:t>
      </w:r>
    </w:p>
    <w:p>
      <w:pPr>
        <w:widowControl/>
        <w:spacing w:line="480" w:lineRule="auto" w:before="0" w:after="0"/>
        <w:ind w:firstLine="2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2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2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200"/>
        <w:jc w:val="both"/>
      </w:pPr>
      <w:r>
        <w:rPr>
          <w:rFonts w:ascii="바탕" w:hAnsi="바탕" w:eastAsia="바탕"/>
          <w:b w:val="0"/>
          <w:i w:val="0"/>
          <w:sz w:val="20"/>
        </w:rPr>
        <w:t>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2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