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2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2.5</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3</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3~10개까지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-41 [-189, 20]</w:t>
            </w:r>
          </w:p>
        </w:tc>
        <w:tc>
          <w:tcPr>
            <w:tcW w:type="dxa" w:w="1296"/>
          </w:tcPr>
          <w:p>
            <w:pPr>
              <w:spacing w:line="240" w:lineRule="auto"/>
              <w:jc w:val="center"/>
            </w:pPr>
            <w:r>
              <w:rPr>
                <w:rFonts w:ascii="바탕" w:hAnsi="바탕" w:eastAsia="바탕"/>
                <w:b w:val="0"/>
                <w:i w:val="0"/>
                <w:sz w:val="18"/>
              </w:rPr>
              <w:t>-19 [-54, 22]</w:t>
            </w:r>
          </w:p>
        </w:tc>
        <w:tc>
          <w:tcPr>
            <w:tcW w:type="dxa" w:w="1296"/>
          </w:tcPr>
          <w:p>
            <w:pPr>
              <w:spacing w:line="240" w:lineRule="auto"/>
              <w:jc w:val="center"/>
            </w:pPr>
            <w:r>
              <w:rPr>
                <w:rFonts w:ascii="바탕" w:hAnsi="바탕" w:eastAsia="바탕"/>
                <w:b w:val="0"/>
                <w:i w:val="0"/>
                <w:sz w:val="18"/>
              </w:rPr>
              <w:t>-4 [-21, 12]</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[-172, -82]</w:t>
            </w:r>
          </w:p>
        </w:tc>
        <w:tc>
          <w:tcPr>
            <w:tcW w:type="dxa" w:w="1296"/>
          </w:tcPr>
          <w:p>
            <w:pPr>
              <w:spacing w:line="240" w:lineRule="auto"/>
              <w:jc w:val="center"/>
            </w:pPr>
            <w:r>
              <w:rPr>
                <w:rFonts w:ascii="바탕" w:hAnsi="바탕" w:eastAsia="바탕"/>
                <w:b w:val="0"/>
                <w:i w:val="0"/>
                <w:sz w:val="18"/>
              </w:rPr>
              <w:t>-227 [-353, -103]</w:t>
            </w:r>
          </w:p>
        </w:tc>
        <w:tc>
          <w:tcPr>
            <w:tcW w:type="dxa" w:w="1296"/>
          </w:tcPr>
          <w:p>
            <w:pPr>
              <w:spacing w:line="240" w:lineRule="auto"/>
              <w:jc w:val="center"/>
            </w:pPr>
            <w:r>
              <w:rPr>
                <w:rFonts w:ascii="바탕" w:hAnsi="바탕" w:eastAsia="바탕"/>
                <w:b w:val="0"/>
                <w:i w:val="0"/>
                <w:sz w:val="18"/>
              </w:rPr>
              <w:t>-65 [-123, -10]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-165 [-231, -96]</w:t>
            </w:r>
          </w:p>
        </w:tc>
        <w:tc>
          <w:tcPr>
            <w:tcW w:type="dxa" w:w="1296"/>
          </w:tcPr>
          <w:p>
            <w:pPr>
              <w:spacing w:line="240" w:lineRule="auto"/>
              <w:jc w:val="center"/>
            </w:pPr>
            <w:r>
              <w:rPr>
                <w:rFonts w:ascii="바탕" w:hAnsi="바탕" w:eastAsia="바탕"/>
                <w:b w:val="0"/>
                <w:i w:val="0"/>
                <w:sz w:val="18"/>
              </w:rPr>
              <w:t>-133 [-181, -107]</w:t>
            </w:r>
          </w:p>
        </w:tc>
        <w:tc>
          <w:tcPr>
            <w:tcW w:type="dxa" w:w="1296"/>
          </w:tcPr>
          <w:p>
            <w:pPr>
              <w:spacing w:line="240" w:lineRule="auto"/>
              <w:jc w:val="center"/>
            </w:pPr>
            <w:r>
              <w:rPr>
                <w:rFonts w:ascii="바탕" w:hAnsi="바탕" w:eastAsia="바탕"/>
                <w:b w:val="0"/>
                <w:i w:val="0"/>
                <w:sz w:val="18"/>
              </w:rPr>
              <w:t>-80 [-101, -64]</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-253 [-431, -117]</w:t>
            </w:r>
          </w:p>
        </w:tc>
        <w:tc>
          <w:tcPr>
            <w:tcW w:type="dxa" w:w="1296"/>
          </w:tcPr>
          <w:p>
            <w:pPr>
              <w:spacing w:line="240" w:lineRule="auto"/>
              <w:jc w:val="center"/>
            </w:pPr>
            <w:r>
              <w:rPr>
                <w:rFonts w:ascii="바탕" w:hAnsi="바탕" w:eastAsia="바탕"/>
                <w:b w:val="0"/>
                <w:i w:val="0"/>
                <w:sz w:val="18"/>
              </w:rPr>
              <w:t>-148 [-166, -122]</w:t>
            </w:r>
          </w:p>
        </w:tc>
        <w:tc>
          <w:tcPr>
            <w:tcW w:type="dxa" w:w="1296"/>
          </w:tcPr>
          <w:p>
            <w:pPr>
              <w:spacing w:line="240" w:lineRule="auto"/>
              <w:jc w:val="center"/>
            </w:pPr>
            <w:r>
              <w:rPr>
                <w:rFonts w:ascii="바탕" w:hAnsi="바탕" w:eastAsia="바탕"/>
                <w:b w:val="0"/>
                <w:i w:val="0"/>
                <w:sz w:val="18"/>
              </w:rPr>
              <w:t>-352 [-432, -238]</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λ=2.5에서 임계값 규칙(튜닝)에 역전당했다. 통계적으로 확실한 우위는 λ=0.6에서 이미 사라졌다.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182</w:t>
            </w:r>
          </w:p>
        </w:tc>
        <w:tc>
          <w:tcPr>
            <w:tcW w:type="dxa" w:w="1134"/>
          </w:tcPr>
          <w:p>
            <w:pPr>
              <w:keepNext/>
              <w:spacing w:line="240" w:lineRule="auto"/>
              <w:jc w:val="center"/>
            </w:pPr>
            <w:r>
              <w:rPr>
                <w:rFonts w:ascii="바탕" w:hAnsi="바탕" w:eastAsia="바탕"/>
                <w:b w:val="0"/>
                <w:i w:val="0"/>
                <w:sz w:val="18"/>
              </w:rPr>
              <w:t>163</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154</w:t>
            </w:r>
          </w:p>
        </w:tc>
        <w:tc>
          <w:tcPr>
            <w:tcW w:type="dxa" w:w="1134"/>
          </w:tcPr>
          <w:p>
            <w:pPr>
              <w:keepNext/>
              <w:spacing w:line="240" w:lineRule="auto"/>
              <w:jc w:val="center"/>
            </w:pPr>
            <w:r>
              <w:rPr>
                <w:rFonts w:ascii="바탕" w:hAnsi="바탕" w:eastAsia="바탕"/>
                <w:b w:val="0"/>
                <w:i w:val="0"/>
                <w:sz w:val="18"/>
              </w:rPr>
              <w:t>195</w:t>
            </w:r>
          </w:p>
        </w:tc>
        <w:tc>
          <w:tcPr>
            <w:tcW w:type="dxa" w:w="1134"/>
          </w:tcPr>
          <w:p>
            <w:pPr>
              <w:keepNext/>
              <w:spacing w:line="240" w:lineRule="auto"/>
              <w:jc w:val="center"/>
            </w:pPr>
            <w:r>
              <w:rPr>
                <w:rFonts w:ascii="바탕" w:hAnsi="바탕" w:eastAsia="바탕"/>
                <w:b w:val="0"/>
                <w:i w:val="0"/>
                <w:sz w:val="18"/>
              </w:rPr>
              <w:t>64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129</w:t>
            </w:r>
          </w:p>
        </w:tc>
        <w:tc>
          <w:tcPr>
            <w:tcW w:type="dxa" w:w="1134"/>
          </w:tcPr>
          <w:p>
            <w:pPr>
              <w:keepNext/>
              <w:spacing w:line="240" w:lineRule="auto"/>
              <w:jc w:val="center"/>
            </w:pPr>
            <w:r>
              <w:rPr>
                <w:rFonts w:ascii="바탕" w:hAnsi="바탕" w:eastAsia="바탕"/>
                <w:b w:val="0"/>
                <w:i w:val="0"/>
                <w:sz w:val="18"/>
              </w:rPr>
              <w:t>101</w:t>
            </w:r>
          </w:p>
        </w:tc>
        <w:tc>
          <w:tcPr>
            <w:tcW w:type="dxa" w:w="1134"/>
          </w:tcPr>
          <w:p>
            <w:pPr>
              <w:keepNext/>
              <w:spacing w:line="240" w:lineRule="auto"/>
              <w:jc w:val="center"/>
            </w:pPr>
            <w:r>
              <w:rPr>
                <w:rFonts w:ascii="바탕" w:hAnsi="바탕" w:eastAsia="바탕"/>
                <w:b w:val="0"/>
                <w:i w:val="0"/>
                <w:sz w:val="18"/>
              </w:rPr>
              <w:t>100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49</w:t>
            </w:r>
          </w:p>
        </w:tc>
        <w:tc>
          <w:tcPr>
            <w:tcW w:type="dxa" w:w="1134"/>
          </w:tcPr>
          <w:p>
            <w:pPr>
              <w:keepNext/>
              <w:spacing w:line="240" w:lineRule="auto"/>
              <w:jc w:val="center"/>
            </w:pPr>
            <w:r>
              <w:rPr>
                <w:rFonts w:ascii="바탕" w:hAnsi="바탕" w:eastAsia="바탕"/>
                <w:b w:val="0"/>
                <w:i w:val="0"/>
                <w:sz w:val="18"/>
              </w:rPr>
              <w:t>159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