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학습이 규칙을 이기되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그대로였고,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세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기준선 감사 — "비교 상대인 규칙을 성의 있게 만들었는가"</w:t>
      </w:r>
    </w:p>
    <w:p>
      <w:pPr>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spacing w:line="312" w:lineRule="auto" w:before="160" w:after="60"/>
        <w:jc w:val="left"/>
      </w:pPr>
      <w:r>
        <w:rPr>
          <w:rFonts w:ascii="맑은 고딕" w:hAnsi="맑은 고딕" w:eastAsia="맑은 고딕"/>
          <w:b/>
          <w:i w:val="0"/>
          <w:sz w:val="20"/>
        </w:rPr>
        <w:t>6.3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spacing w:line="480" w:lineRule="auto" w:before="0" w:after="0"/>
        <w:ind w:firstLine="200"/>
        <w:jc w:val="both"/>
      </w:pPr>
      <w:r>
        <w:rPr>
          <w:rFonts w:ascii="바탕" w:hAnsi="바탕" w:eastAsia="바탕"/>
          <w:b w:val="0"/>
          <w:i w:val="0"/>
          <w:sz w:val="20"/>
        </w:rPr>
        <w:t xml:space="preserve">같은 설정·같은 시드로 다시 돌려 대조한 결과, 학습 중 곡선 평가 12개 지점과 최종 평가 150 에피소드의 모든 지표가 </w:t>
      </w:r>
      <w:r>
        <w:rPr>
          <w:rFonts w:ascii="바탕" w:hAnsi="바탕" w:eastAsia="바탕"/>
          <w:b/>
          <w:i w:val="0"/>
          <w:sz w:val="20"/>
        </w:rPr>
        <w:t>소수점 아래 9자리까지 일치</w:t>
      </w:r>
      <w:r>
        <w:rPr>
          <w:rFonts w:ascii="바탕" w:hAnsi="바탕" w:eastAsia="바탕"/>
          <w:b w:val="0"/>
          <w:i w:val="0"/>
          <w:sz w:val="20"/>
        </w:rPr>
        <w:t>했다(총보상 −131.486842, 행동 120.3회, 목표 도달률 84.0%). 소요시간만 909초 대 1,004초로 달랐는데, 이는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7</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7</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7</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 xml:space="preserve">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7~10개까지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-163 [-194, -132]</w:t>
            </w:r>
          </w:p>
        </w:tc>
        <w:tc>
          <w:tcPr>
            <w:tcW w:type="dxa" w:w="1512"/>
          </w:tcPr>
          <w:p>
            <w:pPr>
              <w:spacing w:line="240" w:lineRule="auto"/>
              <w:jc w:val="center"/>
            </w:pPr>
            <w:r>
              <w:rPr>
                <w:rFonts w:ascii="바탕" w:hAnsi="바탕" w:eastAsia="바탕"/>
                <w:b w:val="0"/>
                <w:i w:val="0"/>
                <w:sz w:val="18"/>
              </w:rPr>
              <w:t>-147 [-176, -129]</w:t>
            </w:r>
          </w:p>
        </w:tc>
        <w:tc>
          <w:tcPr>
            <w:tcW w:type="dxa" w:w="1512"/>
          </w:tcPr>
          <w:p>
            <w:pPr>
              <w:spacing w:line="240" w:lineRule="auto"/>
              <w:jc w:val="center"/>
            </w:pPr>
            <w:r>
              <w:rPr>
                <w:rFonts w:ascii="바탕" w:hAnsi="바탕" w:eastAsia="바탕"/>
                <w:b w:val="0"/>
                <w:i w:val="0"/>
                <w:sz w:val="18"/>
              </w:rPr>
              <w:t>-158 [-188, -130]</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-163 [-191, -132]</w:t>
            </w:r>
          </w:p>
        </w:tc>
        <w:tc>
          <w:tcPr>
            <w:tcW w:type="dxa" w:w="1512"/>
          </w:tcPr>
          <w:p>
            <w:pPr>
              <w:spacing w:line="240" w:lineRule="auto"/>
              <w:jc w:val="center"/>
            </w:pPr>
            <w:r>
              <w:rPr>
                <w:rFonts w:ascii="바탕" w:hAnsi="바탕" w:eastAsia="바탕"/>
                <w:b w:val="0"/>
                <w:i w:val="0"/>
                <w:sz w:val="18"/>
              </w:rPr>
              <w:t>-175 [-200, -148]</w:t>
            </w:r>
          </w:p>
        </w:tc>
        <w:tc>
          <w:tcPr>
            <w:tcW w:type="dxa" w:w="1512"/>
          </w:tcPr>
          <w:p>
            <w:pPr>
              <w:spacing w:line="240" w:lineRule="auto"/>
              <w:jc w:val="center"/>
            </w:pPr>
            <w:r>
              <w:rPr>
                <w:rFonts w:ascii="바탕" w:hAnsi="바탕" w:eastAsia="바탕"/>
                <w:b w:val="0"/>
                <w:i w:val="0"/>
                <w:sz w:val="18"/>
              </w:rPr>
              <w:t>-149 [-167, -129]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-163 [-192, -133]</w:t>
            </w:r>
          </w:p>
        </w:tc>
        <w:tc>
          <w:tcPr>
            <w:tcW w:type="dxa" w:w="1512"/>
          </w:tcPr>
          <w:p>
            <w:pPr>
              <w:spacing w:line="240" w:lineRule="auto"/>
              <w:jc w:val="center"/>
            </w:pPr>
            <w:r>
              <w:rPr>
                <w:rFonts w:ascii="바탕" w:hAnsi="바탕" w:eastAsia="바탕"/>
                <w:b w:val="0"/>
                <w:i w:val="0"/>
                <w:sz w:val="18"/>
              </w:rPr>
              <w:t>-161 [-187, -137]</w:t>
            </w:r>
          </w:p>
        </w:tc>
        <w:tc>
          <w:tcPr>
            <w:tcW w:type="dxa" w:w="1512"/>
          </w:tcPr>
          <w:p>
            <w:pPr>
              <w:spacing w:line="240" w:lineRule="auto"/>
              <w:jc w:val="center"/>
            </w:pPr>
            <w:r>
              <w:rPr>
                <w:rFonts w:ascii="바탕" w:hAnsi="바탕" w:eastAsia="바탕"/>
                <w:b w:val="0"/>
                <w:i w:val="0"/>
                <w:sz w:val="18"/>
              </w:rPr>
              <w:t>-142 [-179, -114]</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-166 [-200, -130]</w:t>
            </w:r>
          </w:p>
        </w:tc>
        <w:tc>
          <w:tcPr>
            <w:tcW w:type="dxa" w:w="1512"/>
          </w:tcPr>
          <w:p>
            <w:pPr>
              <w:spacing w:line="240" w:lineRule="auto"/>
              <w:jc w:val="center"/>
            </w:pPr>
            <w:r>
              <w:rPr>
                <w:rFonts w:ascii="바탕" w:hAnsi="바탕" w:eastAsia="바탕"/>
                <w:b w:val="0"/>
                <w:i w:val="0"/>
                <w:sz w:val="18"/>
              </w:rPr>
              <w:t>-143 [-170, -129]</w:t>
            </w:r>
          </w:p>
        </w:tc>
        <w:tc>
          <w:tcPr>
            <w:tcW w:type="dxa" w:w="1512"/>
          </w:tcPr>
          <w:p>
            <w:pPr>
              <w:spacing w:line="240" w:lineRule="auto"/>
              <w:jc w:val="center"/>
            </w:pPr>
            <w:r>
              <w:rPr>
                <w:rFonts w:ascii="바탕" w:hAnsi="바탕" w:eastAsia="바탕"/>
                <w:b w:val="0"/>
                <w:i w:val="0"/>
                <w:sz w:val="18"/>
              </w:rPr>
              <w:t>-137 [-170, -121]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-165]</w:t>
            </w:r>
          </w:p>
        </w:tc>
        <w:tc>
          <w:tcPr>
            <w:tcW w:type="dxa" w:w="1512"/>
          </w:tcPr>
          <w:p>
            <w:pPr>
              <w:spacing w:line="240" w:lineRule="auto"/>
              <w:jc w:val="center"/>
            </w:pPr>
            <w:r>
              <w:rPr>
                <w:rFonts w:ascii="바탕" w:hAnsi="바탕" w:eastAsia="바탕"/>
                <w:b w:val="0"/>
                <w:i w:val="0"/>
                <w:sz w:val="18"/>
              </w:rPr>
              <w:t>-179 [-200, -158]</w:t>
            </w:r>
          </w:p>
        </w:tc>
        <w:tc>
          <w:tcPr>
            <w:tcW w:type="dxa" w:w="1512"/>
          </w:tcPr>
          <w:p>
            <w:pPr>
              <w:spacing w:line="240" w:lineRule="auto"/>
              <w:jc w:val="center"/>
            </w:pPr>
            <w:r>
              <w:rPr>
                <w:rFonts w:ascii="바탕" w:hAnsi="바탕" w:eastAsia="바탕"/>
                <w:b w:val="0"/>
                <w:i w:val="0"/>
                <w:sz w:val="18"/>
              </w:rPr>
              <w:t>-176 [-201, -144]</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124</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139</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127</w:t>
            </w:r>
          </w:p>
        </w:tc>
        <w:tc>
          <w:tcPr>
            <w:tcW w:type="dxa" w:w="1512"/>
          </w:tcPr>
          <w:p>
            <w:pPr>
              <w:spacing w:line="240" w:lineRule="auto"/>
              <w:jc w:val="center"/>
            </w:pPr>
            <w:r>
              <w:rPr>
                <w:rFonts w:ascii="바탕" w:hAnsi="바탕" w:eastAsia="바탕"/>
                <w:b w:val="0"/>
                <w:i w:val="0"/>
                <w:sz w:val="18"/>
              </w:rPr>
              <w:t>135</w:t>
            </w:r>
          </w:p>
        </w:tc>
        <w:tc>
          <w:tcPr>
            <w:tcW w:type="dxa" w:w="1512"/>
          </w:tcPr>
          <w:p>
            <w:pPr>
              <w:spacing w:line="240" w:lineRule="auto"/>
              <w:jc w:val="center"/>
            </w:pPr>
            <w:r>
              <w:rPr>
                <w:rFonts w:ascii="바탕" w:hAnsi="바탕" w:eastAsia="바탕"/>
                <w:b w:val="0"/>
                <w:i w:val="0"/>
                <w:sz w:val="18"/>
              </w:rPr>
              <w:t>135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135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114</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112</w:t>
            </w:r>
          </w:p>
        </w:tc>
        <w:tc>
          <w:tcPr>
            <w:tcW w:type="dxa" w:w="1512"/>
          </w:tcPr>
          <w:p>
            <w:pPr>
              <w:spacing w:line="240" w:lineRule="auto"/>
              <w:jc w:val="center"/>
            </w:pPr>
            <w:r>
              <w:rPr>
                <w:rFonts w:ascii="바탕" w:hAnsi="바탕" w:eastAsia="바탕"/>
                <w:b w:val="0"/>
                <w:i w:val="0"/>
                <w:sz w:val="18"/>
              </w:rPr>
              <w:t>136</w:t>
            </w:r>
          </w:p>
        </w:tc>
        <w:tc>
          <w:tcPr>
            <w:tcW w:type="dxa" w:w="1512"/>
          </w:tcPr>
          <w:p>
            <w:pPr>
              <w:spacing w:line="240" w:lineRule="auto"/>
              <w:jc w:val="center"/>
            </w:pPr>
            <w:r>
              <w:rPr>
                <w:rFonts w:ascii="바탕" w:hAnsi="바탕" w:eastAsia="바탕"/>
                <w:b w:val="0"/>
                <w:i w:val="0"/>
                <w:sz w:val="18"/>
              </w:rPr>
              <w:t>89</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착륙은 시키지만 점수가 낮다.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전체(8/12 λ)에서 임계값 규칙(처음)을 이겼다.</w:t>
      </w:r>
    </w:p>
    <w:p>
      <w:pPr>
        <w:spacing w:line="480" w:lineRule="auto" w:before="0" w:after="0"/>
        <w:ind w:left="340" w:hanging="198"/>
      </w:pPr>
      <w:r>
        <w:rPr>
          <w:rFonts w:ascii="바탕" w:hAnsi="바탕" w:eastAsia="바탕"/>
          <w:b w:val="0"/>
          <w:i w:val="0"/>
          <w:sz w:val="20"/>
        </w:rPr>
        <w:t>· Lazy-MDP는 비교된 λ 구간 전체(8/12 λ)에서 임계값 규칙(처음)을 이겼다.</w:t>
      </w:r>
    </w:p>
    <w:p>
      <w:pPr>
        <w:spacing w:line="480" w:lineRule="auto" w:before="0" w:after="0"/>
        <w:ind w:left="340" w:hanging="198"/>
      </w:pPr>
      <w:r>
        <w:rPr>
          <w:rFonts w:ascii="바탕" w:hAnsi="바탕" w:eastAsia="바탕"/>
          <w:b w:val="0"/>
          <w:i w:val="0"/>
          <w:sz w:val="20"/>
        </w:rPr>
        <w:t>· TempoRL은 비교된 λ 구간 전체(8/12 λ)에서 임계값 규칙(처음)을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162</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162</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162</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162</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162</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162</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162</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162</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162</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DEDED"/>
          </w:tcPr>
          <w:p>
            <w:pPr>
              <w:spacing w:line="240" w:lineRule="auto"/>
              <w:jc w:val="center"/>
            </w:pPr>
            <w:r/>
            <w:r>
              <w:rPr>
                <w:rFonts w:ascii="맑은 고딕" w:hAnsi="맑은 고딕" w:eastAsia="맑은 고딕"/>
                <w:b/>
                <w:i w:val="0"/>
                <w:sz w:val="18"/>
              </w:rPr>
              <w:t>계열</w:t>
            </w:r>
          </w:p>
        </w:tc>
        <w:tc>
          <w:tcPr>
            <w:tcW w:type="dxa" w:w="1814"/>
            <w:shd w:val="clear" w:color="auto" w:fill="EDEDED"/>
          </w:tcPr>
          <w:p>
            <w:pPr>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spacing w:line="240" w:lineRule="auto"/>
              <w:jc w:val="center"/>
            </w:pPr>
            <w:r/>
            <w:r>
              <w:rPr>
                <w:rFonts w:ascii="맑은 고딕" w:hAnsi="맑은 고딕" w:eastAsia="맑은 고딕"/>
                <w:b/>
                <w:i w:val="0"/>
                <w:sz w:val="18"/>
              </w:rPr>
              <w:t>λ=0 기준값</w:t>
            </w:r>
          </w:p>
        </w:tc>
      </w:tr>
      <w:tr>
        <w:tc>
          <w:tcPr>
            <w:tcW w:type="dxa" w:w="1814"/>
          </w:tcPr>
          <w:p>
            <w:pPr>
              <w:spacing w:line="240" w:lineRule="auto"/>
              <w:jc w:val="left"/>
            </w:pPr>
            <w:r>
              <w:rPr>
                <w:rFonts w:ascii="바탕" w:hAnsi="바탕" w:eastAsia="바탕"/>
                <w:b w:val="0"/>
                <w:i w:val="0"/>
                <w:sz w:val="18"/>
              </w:rPr>
              <w:t>표준 DQN</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141회 / 62%</w:t>
            </w:r>
          </w:p>
        </w:tc>
      </w:tr>
      <w:tr>
        <w:tc>
          <w:tcPr>
            <w:tcW w:type="dxa" w:w="1814"/>
          </w:tcPr>
          <w:p>
            <w:pPr>
              <w:spacing w:line="240" w:lineRule="auto"/>
              <w:jc w:val="left"/>
            </w:pPr>
            <w:r>
              <w:rPr>
                <w:rFonts w:ascii="바탕" w:hAnsi="바탕" w:eastAsia="바탕"/>
                <w:b w:val="0"/>
                <w:i w:val="0"/>
                <w:sz w:val="18"/>
              </w:rPr>
              <w:t>TempoRL</w:t>
            </w:r>
          </w:p>
        </w:tc>
        <w:tc>
          <w:tcPr>
            <w:tcW w:type="dxa" w:w="1814"/>
          </w:tcPr>
          <w:p>
            <w:pPr>
              <w:spacing w:line="240" w:lineRule="auto"/>
              <w:jc w:val="center"/>
            </w:pPr>
            <w:r>
              <w:rPr>
                <w:rFonts w:ascii="바탕" w:hAnsi="바탕" w:eastAsia="바탕"/>
                <w:b w:val="0"/>
                <w:i w:val="0"/>
                <w:sz w:val="18"/>
              </w:rPr>
              <w:t>0.002</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123회 / 86%</w:t>
            </w:r>
          </w:p>
        </w:tc>
      </w:tr>
      <w:t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8.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8.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규칙(처음)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35.8</w:t>
            </w:r>
          </w:p>
        </w:tc>
        <w:tc>
          <w:tcPr>
            <w:tcW w:type="dxa" w:w="1361"/>
          </w:tcPr>
          <w:p>
            <w:pPr>
              <w:spacing w:line="240" w:lineRule="auto"/>
              <w:jc w:val="center"/>
            </w:pPr>
            <w:r>
              <w:rPr>
                <w:rFonts w:ascii="바탕" w:hAnsi="바탕" w:eastAsia="바탕"/>
                <w:b w:val="0"/>
                <w:i w:val="0"/>
                <w:sz w:val="18"/>
              </w:rPr>
              <w:t>[34.3, 37.6]</w:t>
            </w:r>
          </w:p>
        </w:tc>
        <w:tc>
          <w:tcPr>
            <w:tcW w:type="dxa" w:w="794"/>
          </w:tcPr>
          <w:p>
            <w:pPr>
              <w:spacing w:line="240" w:lineRule="auto"/>
              <w:jc w:val="center"/>
            </w:pPr>
            <w:r>
              <w:rPr>
                <w:rFonts w:ascii="바탕" w:hAnsi="바탕" w:eastAsia="바탕"/>
                <w:b/>
                <w:i w:val="0"/>
                <w:sz w:val="18"/>
              </w:rPr>
              <w:t>100%</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200" w:after="80"/>
        <w:jc w:val="left"/>
      </w:pPr>
      <w:r>
        <w:rPr>
          <w:rFonts w:ascii="맑은 고딕" w:hAnsi="맑은 고딕" w:eastAsia="맑은 고딕"/>
          <w:b/>
          <w:i w:val="0"/>
          <w:sz w:val="22"/>
        </w:rPr>
        <w:t>6. 기준선 감사 — 비교 상대인 규칙을 성의 있게 만들었는가</w:t>
      </w:r>
    </w:p>
    <w:p>
      <w:pPr>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spacing w:line="276" w:lineRule="auto" w:before="200" w:after="40"/>
        <w:jc w:val="center"/>
      </w:pPr>
      <w:r>
        <w:rPr>
          <w:rFonts w:ascii="맑은 고딕" w:hAnsi="맑은 고딕" w:eastAsia="맑은 고딕"/>
          <w:b/>
          <w:i w:val="0"/>
          <w:sz w:val="19"/>
        </w:rPr>
        <w:t>표 9. 기준 규칙의 계수를 다시 골랐을 때</w:t>
      </w:r>
    </w:p>
    <w:p>
      <w:pPr>
        <w:spacing w:line="276" w:lineRule="auto" w:before="0" w:after="60"/>
        <w:jc w:val="center"/>
      </w:pPr>
      <w:r>
        <w:rPr>
          <w:rFonts w:ascii="맑은 고딕" w:hAnsi="맑은 고딕" w:eastAsia="맑은 고딕"/>
          <w:b w:val="0"/>
          <w:i/>
          <w:sz w:val="18"/>
        </w:rPr>
        <w:t>Table 9. Re-selecting the coefficients of each baseline rule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w:t>
            </w:r>
          </w:p>
        </w:tc>
        <w:tc>
          <w:tcPr>
            <w:tcW w:type="dxa" w:w="1512"/>
            <w:shd w:val="clear" w:color="auto" w:fill="EDEDED"/>
          </w:tcPr>
          <w:p>
            <w:pPr>
              <w:spacing w:line="240" w:lineRule="auto"/>
              <w:jc w:val="center"/>
            </w:pPr>
            <w:r/>
            <w:r>
              <w:rPr>
                <w:rFonts w:ascii="맑은 고딕" w:hAnsi="맑은 고딕" w:eastAsia="맑은 고딕"/>
                <w:b/>
                <w:i w:val="0"/>
                <w:sz w:val="18"/>
              </w:rPr>
              <w:t>규칙</w:t>
            </w:r>
          </w:p>
        </w:tc>
        <w:tc>
          <w:tcPr>
            <w:tcW w:type="dxa" w:w="1512"/>
            <w:shd w:val="clear" w:color="auto" w:fill="EDEDED"/>
          </w:tcPr>
          <w:p>
            <w:pPr>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spacing w:line="240" w:lineRule="auto"/>
              <w:jc w:val="center"/>
            </w:pPr>
            <w:r/>
            <w:r>
              <w:rPr>
                <w:rFonts w:ascii="맑은 고딕" w:hAnsi="맑은 고딕" w:eastAsia="맑은 고딕"/>
                <w:b/>
                <w:i w:val="0"/>
                <w:sz w:val="18"/>
              </w:rPr>
              <w:t>차이</w:t>
            </w:r>
          </w:p>
        </w:tc>
        <w:tc>
          <w:tcPr>
            <w:tcW w:type="dxa" w:w="1512"/>
            <w:shd w:val="clear" w:color="auto" w:fill="EDEDED"/>
          </w:tcPr>
          <w:p>
            <w:pPr>
              <w:spacing w:line="240" w:lineRule="auto"/>
              <w:jc w:val="center"/>
            </w:pPr>
            <w:r/>
            <w:r>
              <w:rPr>
                <w:rFonts w:ascii="맑은 고딕" w:hAnsi="맑은 고딕" w:eastAsia="맑은 고딕"/>
                <w:b/>
                <w:i w:val="0"/>
                <w:sz w:val="18"/>
              </w:rPr>
              <w:t>판정</w:t>
            </w:r>
          </w:p>
        </w:tc>
      </w:tr>
      <w:tr>
        <w:tc>
          <w:tcPr>
            <w:tcW w:type="dxa" w:w="1512"/>
          </w:tcPr>
          <w:p>
            <w:pPr>
              <w:spacing w:line="240" w:lineRule="auto"/>
              <w:jc w:val="left"/>
            </w:pPr>
            <w:r>
              <w:rPr>
                <w:rFonts w:ascii="바탕" w:hAnsi="바탕" w:eastAsia="바탕"/>
                <w:b w:val="0"/>
                <w:i w:val="0"/>
                <w:sz w:val="18"/>
              </w:rPr>
              <w:t>MountainCar-v0</w:t>
            </w:r>
          </w:p>
        </w:tc>
        <w:tc>
          <w:tcPr>
            <w:tcW w:type="dxa" w:w="1512"/>
          </w:tcPr>
          <w:p>
            <w:pPr>
              <w:spacing w:line="240" w:lineRule="auto"/>
              <w:jc w:val="center"/>
            </w:pPr>
            <w:r>
              <w:rPr>
                <w:rFonts w:ascii="바탕" w:hAnsi="바탕" w:eastAsia="바탕"/>
                <w:b w:val="0"/>
                <w:i w:val="0"/>
                <w:sz w:val="18"/>
              </w:rPr>
              <w:t>pump 규칙</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r>
        <w:tc>
          <w:tcPr>
            <w:tcW w:type="dxa" w:w="1512"/>
          </w:tcPr>
          <w:p>
            <w:pPr>
              <w:spacing w:line="240" w:lineRule="auto"/>
              <w:jc w:val="left"/>
            </w:pPr>
            <w:r>
              <w:rPr>
                <w:rFonts w:ascii="바탕" w:hAnsi="바탕" w:eastAsia="바탕"/>
                <w:b w:val="0"/>
                <w:i w:val="0"/>
                <w:sz w:val="18"/>
              </w:rPr>
              <w:t>LunarLander-v3</w:t>
            </w:r>
          </w:p>
        </w:tc>
        <w:tc>
          <w:tcPr>
            <w:tcW w:type="dxa" w:w="1512"/>
          </w:tcPr>
          <w:p>
            <w:pPr>
              <w:spacing w:line="240" w:lineRule="auto"/>
              <w:jc w:val="center"/>
            </w:pPr>
            <w:r>
              <w:rPr>
                <w:rFonts w:ascii="바탕" w:hAnsi="바탕" w:eastAsia="바탕"/>
                <w:b w:val="0"/>
                <w:i w:val="0"/>
                <w:sz w:val="18"/>
              </w:rPr>
              <w:t>임계값 규칙</w:t>
            </w:r>
          </w:p>
        </w:tc>
        <w:tc>
          <w:tcPr>
            <w:tcW w:type="dxa" w:w="1512"/>
          </w:tcPr>
          <w:p>
            <w:pPr>
              <w:spacing w:line="240" w:lineRule="auto"/>
              <w:jc w:val="center"/>
            </w:pPr>
            <w:r>
              <w:rPr>
                <w:rFonts w:ascii="바탕" w:hAnsi="바탕" w:eastAsia="바탕"/>
                <w:b w:val="0"/>
                <w:i w:val="0"/>
                <w:sz w:val="18"/>
              </w:rPr>
              <w:t>38.3</w:t>
            </w:r>
          </w:p>
        </w:tc>
        <w:tc>
          <w:tcPr>
            <w:tcW w:type="dxa" w:w="1512"/>
          </w:tcPr>
          <w:p>
            <w:pPr>
              <w:spacing w:line="240" w:lineRule="auto"/>
              <w:jc w:val="center"/>
            </w:pPr>
            <w:r>
              <w:rPr>
                <w:rFonts w:ascii="바탕" w:hAnsi="바탕" w:eastAsia="바탕"/>
                <w:b w:val="0"/>
                <w:i w:val="0"/>
                <w:sz w:val="18"/>
              </w:rPr>
              <w:t>179.8</w:t>
            </w:r>
          </w:p>
        </w:tc>
        <w:tc>
          <w:tcPr>
            <w:tcW w:type="dxa" w:w="1512"/>
          </w:tcPr>
          <w:p>
            <w:pPr>
              <w:spacing w:line="240" w:lineRule="auto"/>
              <w:jc w:val="center"/>
            </w:pPr>
            <w:r>
              <w:rPr>
                <w:rFonts w:ascii="바탕" w:hAnsi="바탕" w:eastAsia="바탕"/>
                <w:b w:val="0"/>
                <w:i w:val="0"/>
                <w:sz w:val="18"/>
              </w:rPr>
              <w:t>141.6</w:t>
            </w:r>
          </w:p>
        </w:tc>
        <w:tc>
          <w:tcPr>
            <w:tcW w:type="dxa" w:w="1512"/>
          </w:tcPr>
          <w:p>
            <w:pPr>
              <w:spacing w:line="240" w:lineRule="auto"/>
              <w:jc w:val="center"/>
            </w:pPr>
            <w:r>
              <w:rPr>
                <w:rFonts w:ascii="바탕" w:hAnsi="바탕" w:eastAsia="바탕"/>
                <w:b w:val="0"/>
                <w:i w:val="0"/>
                <w:sz w:val="18"/>
              </w:rPr>
              <w:t>더 나은 계수가 있다 (평가셋에서 +141.6)</w:t>
            </w:r>
          </w:p>
        </w:tc>
      </w:tr>
      <w:t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않았지만,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(같은 형태의 규칙, 계수만 다름. 튜닝은 평가에 쓰지 않는 에피소드에서 했다). 그 결과 표준 DQN의 λ*가 절반으로 줄고,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넷째,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t>표 10. 비용 부과 방식을 바꾸면 λ 눈금이 얼마나 달라지는가 (고정 규칙, 100 에피소드)</w:t>
      </w:r>
    </w:p>
    <w:p>
      <w:pPr>
        <w:spacing w:line="276" w:lineRule="auto" w:before="0" w:after="60"/>
        <w:jc w:val="center"/>
      </w:pPr>
      <w:r>
        <w:rPr>
          <w:rFonts w:ascii="맑은 고딕" w:hAnsi="맑은 고딕" w:eastAsia="맑은 고딕"/>
          <w:b w:val="0"/>
          <w:i/>
          <w:sz w:val="18"/>
        </w:rPr>
        <w:t>Table 10.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 / 규칙</w:t>
            </w:r>
          </w:p>
        </w:tc>
        <w:tc>
          <w:tcPr>
            <w:tcW w:type="dxa" w:w="1512"/>
            <w:shd w:val="clear" w:color="auto" w:fill="EDEDED"/>
          </w:tcPr>
          <w:p>
            <w:pPr>
              <w:spacing w:line="240" w:lineRule="auto"/>
              <w:jc w:val="center"/>
            </w:pPr>
            <w:r/>
            <w:r>
              <w:rPr>
                <w:rFonts w:ascii="맑은 고딕" w:hAnsi="맑은 고딕" w:eastAsia="맑은 고딕"/>
                <w:b/>
                <w:i w:val="0"/>
                <w:sz w:val="18"/>
              </w:rPr>
              <w:t>매 스텝 과금</w:t>
            </w:r>
          </w:p>
        </w:tc>
        <w:tc>
          <w:tcPr>
            <w:tcW w:type="dxa" w:w="1512"/>
            <w:shd w:val="clear" w:color="auto" w:fill="EDEDED"/>
          </w:tcPr>
          <w:p>
            <w:pPr>
              <w:spacing w:line="240" w:lineRule="auto"/>
              <w:jc w:val="center"/>
            </w:pPr>
            <w:r/>
            <w:r>
              <w:rPr>
                <w:rFonts w:ascii="맑은 고딕" w:hAnsi="맑은 고딕" w:eastAsia="맑은 고딕"/>
                <w:b/>
                <w:i w:val="0"/>
                <w:sz w:val="18"/>
              </w:rPr>
              <w:t>전환 과금</w:t>
            </w:r>
          </w:p>
        </w:tc>
        <w:tc>
          <w:tcPr>
            <w:tcW w:type="dxa" w:w="1512"/>
            <w:shd w:val="clear" w:color="auto" w:fill="EDEDED"/>
          </w:tcPr>
          <w:p>
            <w:pPr>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spacing w:line="240" w:lineRule="auto"/>
              <w:jc w:val="center"/>
            </w:pPr>
            <w:r/>
            <w:r>
              <w:rPr>
                <w:rFonts w:ascii="맑은 고딕" w:hAnsi="맑은 고딕" w:eastAsia="맑은 고딕"/>
                <w:b/>
                <w:i w:val="0"/>
                <w:sz w:val="18"/>
              </w:rPr>
              <w:t>λ_교차 (전환)</w:t>
            </w:r>
          </w:p>
        </w:tc>
        <w:tc>
          <w:tcPr>
            <w:tcW w:type="dxa" w:w="1512"/>
            <w:shd w:val="clear" w:color="auto" w:fill="EDEDED"/>
          </w:tcPr>
          <w:p>
            <w:pPr>
              <w:spacing w:line="240" w:lineRule="auto"/>
              <w:jc w:val="center"/>
            </w:pPr>
            <w:r/>
            <w:r>
              <w:rPr>
                <w:rFonts w:ascii="맑은 고딕" w:hAnsi="맑은 고딕" w:eastAsia="맑은 고딕"/>
                <w:b/>
                <w:i w:val="0"/>
                <w:sz w:val="18"/>
              </w:rPr>
              <w:t>배율</w:t>
            </w:r>
          </w:p>
        </w:tc>
      </w:tr>
      <w:tr>
        <w:tc>
          <w:tcPr>
            <w:tcW w:type="dxa" w:w="1512"/>
          </w:tcPr>
          <w:p>
            <w:pPr>
              <w:spacing w:line="240" w:lineRule="auto"/>
              <w:jc w:val="left"/>
            </w:pPr>
            <w:r>
              <w:rPr>
                <w:rFonts w:ascii="바탕" w:hAnsi="바탕" w:eastAsia="바탕"/>
                <w:b w:val="0"/>
                <w:i w:val="0"/>
                <w:sz w:val="18"/>
              </w:rPr>
              <w:t>MountainCar / pump</w:t>
            </w:r>
          </w:p>
        </w:tc>
        <w:tc>
          <w:tcPr>
            <w:tcW w:type="dxa" w:w="1512"/>
          </w:tcPr>
          <w:p>
            <w:pPr>
              <w:spacing w:line="240" w:lineRule="auto"/>
              <w:jc w:val="center"/>
            </w:pPr>
            <w:r>
              <w:rPr>
                <w:rFonts w:ascii="바탕" w:hAnsi="바탕" w:eastAsia="바탕"/>
                <w:b w:val="0"/>
                <w:i w:val="0"/>
                <w:sz w:val="18"/>
              </w:rPr>
              <w:t>119.2</w:t>
            </w:r>
          </w:p>
        </w:tc>
        <w:tc>
          <w:tcPr>
            <w:tcW w:type="dxa" w:w="1512"/>
          </w:tcPr>
          <w:p>
            <w:pPr>
              <w:spacing w:line="240" w:lineRule="auto"/>
              <w:jc w:val="center"/>
            </w:pPr>
            <w:r>
              <w:rPr>
                <w:rFonts w:ascii="바탕" w:hAnsi="바탕" w:eastAsia="바탕"/>
                <w:b/>
                <w:i w:val="0"/>
                <w:sz w:val="18"/>
              </w:rPr>
              <w:t>3.0</w:t>
            </w:r>
          </w:p>
        </w:tc>
        <w:tc>
          <w:tcPr>
            <w:tcW w:type="dxa" w:w="1512"/>
          </w:tcPr>
          <w:p>
            <w:pPr>
              <w:spacing w:line="240" w:lineRule="auto"/>
              <w:jc w:val="center"/>
            </w:pPr>
            <w:r>
              <w:rPr>
                <w:rFonts w:ascii="바탕" w:hAnsi="바탕" w:eastAsia="바탕"/>
                <w:b w:val="0"/>
                <w:i w:val="0"/>
                <w:sz w:val="18"/>
              </w:rPr>
              <w:t>0.673</w:t>
            </w:r>
          </w:p>
        </w:tc>
        <w:tc>
          <w:tcPr>
            <w:tcW w:type="dxa" w:w="1512"/>
          </w:tcPr>
          <w:p>
            <w:pPr>
              <w:spacing w:line="240" w:lineRule="auto"/>
              <w:jc w:val="center"/>
            </w:pPr>
            <w:r>
              <w:rPr>
                <w:rFonts w:ascii="바탕" w:hAnsi="바탕" w:eastAsia="바탕"/>
                <w:b/>
                <w:i w:val="0"/>
                <w:sz w:val="18"/>
              </w:rPr>
              <w:t>26.73</w:t>
            </w:r>
          </w:p>
        </w:tc>
        <w:tc>
          <w:tcPr>
            <w:tcW w:type="dxa" w:w="1512"/>
          </w:tcPr>
          <w:p>
            <w:pPr>
              <w:spacing w:line="240" w:lineRule="auto"/>
              <w:jc w:val="center"/>
            </w:pPr>
            <w:r>
              <w:rPr>
                <w:rFonts w:ascii="바탕" w:hAnsi="바탕" w:eastAsia="바탕"/>
                <w:b/>
                <w:i w:val="0"/>
                <w:sz w:val="18"/>
              </w:rPr>
              <w:t>39.7배</w:t>
            </w:r>
          </w:p>
        </w:tc>
      </w:tr>
      <w:tr>
        <w:tc>
          <w:tcPr>
            <w:tcW w:type="dxa" w:w="1512"/>
          </w:tcPr>
          <w:p>
            <w:pPr>
              <w:spacing w:line="240" w:lineRule="auto"/>
              <w:jc w:val="left"/>
            </w:pPr>
            <w:r>
              <w:rPr>
                <w:rFonts w:ascii="바탕" w:hAnsi="바탕" w:eastAsia="바탕"/>
                <w:b w:val="0"/>
                <w:i w:val="0"/>
                <w:sz w:val="18"/>
              </w:rPr>
              <w:t>LunarLander / 임계값</w:t>
            </w:r>
          </w:p>
        </w:tc>
        <w:tc>
          <w:tcPr>
            <w:tcW w:type="dxa" w:w="1512"/>
          </w:tcPr>
          <w:p>
            <w:pPr>
              <w:spacing w:line="240" w:lineRule="auto"/>
              <w:jc w:val="center"/>
            </w:pPr>
            <w:r>
              <w:rPr>
                <w:rFonts w:ascii="바탕" w:hAnsi="바탕" w:eastAsia="바탕"/>
                <w:b w:val="0"/>
                <w:i w:val="0"/>
                <w:sz w:val="18"/>
              </w:rPr>
              <w:t>123.7</w:t>
            </w:r>
          </w:p>
        </w:tc>
        <w:tc>
          <w:tcPr>
            <w:tcW w:type="dxa" w:w="1512"/>
          </w:tcPr>
          <w:p>
            <w:pPr>
              <w:spacing w:line="240" w:lineRule="auto"/>
              <w:jc w:val="center"/>
            </w:pPr>
            <w:r>
              <w:rPr>
                <w:rFonts w:ascii="바탕" w:hAnsi="바탕" w:eastAsia="바탕"/>
                <w:b w:val="0"/>
                <w:i w:val="0"/>
                <w:sz w:val="18"/>
              </w:rPr>
              <w:t>128.2</w:t>
            </w:r>
          </w:p>
        </w:tc>
        <w:tc>
          <w:tcPr>
            <w:tcW w:type="dxa" w:w="1512"/>
          </w:tcPr>
          <w:p>
            <w:pPr>
              <w:spacing w:line="240" w:lineRule="auto"/>
              <w:jc w:val="center"/>
            </w:pPr>
            <w:r>
              <w:rPr>
                <w:rFonts w:ascii="바탕" w:hAnsi="바탕" w:eastAsia="바탕"/>
                <w:b w:val="0"/>
                <w:i w:val="0"/>
                <w:sz w:val="18"/>
              </w:rPr>
              <w:t>1.412</w:t>
            </w:r>
          </w:p>
        </w:tc>
        <w:tc>
          <w:tcPr>
            <w:tcW w:type="dxa" w:w="1512"/>
          </w:tcPr>
          <w:p>
            <w:pPr>
              <w:spacing w:line="240" w:lineRule="auto"/>
              <w:jc w:val="center"/>
            </w:pPr>
            <w:r>
              <w:rPr>
                <w:rFonts w:ascii="바탕" w:hAnsi="바탕" w:eastAsia="바탕"/>
                <w:b w:val="0"/>
                <w:i w:val="0"/>
                <w:sz w:val="18"/>
              </w:rPr>
              <w:t>1.362</w:t>
            </w:r>
          </w:p>
        </w:tc>
        <w:tc>
          <w:tcPr>
            <w:tcW w:type="dxa" w:w="1512"/>
          </w:tcPr>
          <w:p>
            <w:pPr>
              <w:spacing w:line="240" w:lineRule="auto"/>
              <w:jc w:val="center"/>
            </w:pPr>
            <w:r>
              <w:rPr>
                <w:rFonts w:ascii="바탕" w:hAnsi="바탕" w:eastAsia="바탕"/>
                <w:b w:val="0"/>
                <w:i w:val="0"/>
                <w:sz w:val="18"/>
              </w:rPr>
              <w:t>1.0배</w:t>
            </w:r>
          </w:p>
        </w:tc>
      </w:tr>
      <w:t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