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4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4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4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4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4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4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4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400"/>
        <w:jc w:val="both"/>
      </w:pPr>
      <w:r>
        <w:rPr>
          <w:rFonts w:ascii="바탕" w:hAnsi="바탕" w:eastAsia="바탕"/>
          <w:b/>
          <w:i w:val="0"/>
          <w:sz w:val="20"/>
        </w:rPr>
        <w:t>r'(s, a) = r(s, a) − λ · 1[a ≠ a_noop]</w:t>
      </w:r>
    </w:p>
    <w:p>
      <w:pPr>
        <w:widowControl/>
        <w:spacing w:line="480" w:lineRule="auto" w:before="0" w:after="0"/>
        <w:ind w:firstLine="4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4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희소한 MountainCar-v0, 보상이 조밀한 LunarLander-v3, 그리고 규칙 품질은 그 사이지만 보상은 희소한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 정의하고 두 가지 엄격도(신뢰구간 기준·점추정 기준)로 측정했다. 이것이 실무자가 찾는 "학습을 쓸 것인가 규칙을 쓸 것인가"의 판단선이다. 다만 λ* 하나로는 </w:t>
      </w:r>
      <w:r>
        <w:rPr>
          <w:rFonts w:ascii="바탕" w:hAnsi="바탕" w:eastAsia="바탕"/>
          <w:b/>
          <w:i w:val="0"/>
          <w:sz w:val="20"/>
        </w:rPr>
        <w:t>이겼을 때 왜 이겼는지</w:t>
      </w:r>
      <w:r>
        <w:rPr>
          <w:rFonts w:ascii="바탕" w:hAnsi="바탕" w:eastAsia="바탕"/>
          <w:b w:val="0"/>
          <w:i w:val="0"/>
          <w:sz w:val="20"/>
        </w:rPr>
        <w:t>를 알 수 없다. 그래서 비용을 빼기 전 원보상과 행동 횟수를 함께 놓고 "행동을 줄여서 이긴 것"과 "같은 행동으로 더 잘해서 이긴 것"을 갈라 보았다.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 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 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 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4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4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35.8점에서 162.3점으로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4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4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4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400"/>
        <w:jc w:val="both"/>
      </w:pPr>
      <w:r>
        <w:rPr>
          <w:rFonts w:ascii="바탕" w:hAnsi="바탕" w:eastAsia="바탕"/>
          <w:b w:val="0"/>
          <w:i w:val="0"/>
          <w:sz w:val="20"/>
        </w:rPr>
        <w:t>지속망의 학습식은 다음과 같다.</w:t>
      </w:r>
    </w:p>
    <w:p>
      <w:pPr>
        <w:widowControl/>
        <w:spacing w:line="480" w:lineRule="auto" w:before="0" w:after="0"/>
        <w:ind w:firstLine="4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4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4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4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4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4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4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400"/>
        <w:jc w:val="both"/>
      </w:pPr>
      <w:r>
        <w:rPr>
          <w:rFonts w:ascii="바탕" w:hAnsi="바탕" w:eastAsia="바탕"/>
          <w:b w:val="0"/>
          <w:i w:val="0"/>
          <w:sz w:val="20"/>
        </w:rPr>
        <w:t xml:space="preserve">이 원칙이 실제로 이 연구의 결론을 바꾼 적이 있다. 본실험 초기에 </w:t>
      </w:r>
      <w:r>
        <w:rPr>
          <w:rFonts w:ascii="바탕" w:hAnsi="바탕" w:eastAsia="바탕"/>
          <w:b/>
          <w:i w:val="0"/>
          <w:sz w:val="20"/>
        </w:rPr>
        <w:t>시드 0 하나</w:t>
      </w:r>
      <w:r>
        <w:rPr>
          <w:rFonts w:ascii="바탕" w:hAnsi="바탕" w:eastAsia="바탕"/>
          <w:b w:val="0"/>
          <w:i w:val="0"/>
          <w:sz w:val="20"/>
        </w:rPr>
        <w:t>가 먼저 돌아왔을 때 MountainCar의 순위는 이랬다 — λ=0에서 TempoRL(−117.2)이 1등, Lazy-MDP(−184.1)가 꼴찌였다. λ=0.01에서는 TempoRL만 목표 도달률 85%를 지켜 "행동을 오래 유지하는 방식이 비용에 강하다"는 깔끔한 이야기가 보였다.</w:t>
      </w:r>
    </w:p>
    <w:p>
      <w:pPr>
        <w:widowControl/>
        <w:spacing w:line="480" w:lineRule="auto" w:before="0" w:after="0"/>
        <w:ind w:firstLine="400"/>
        <w:jc w:val="both"/>
      </w:pPr>
      <w:r>
        <w:rPr>
          <w:rFonts w:ascii="바탕" w:hAnsi="바탕" w:eastAsia="바탕"/>
          <w:b/>
          <w:i w:val="0"/>
          <w:sz w:val="20"/>
        </w:rPr>
        <w:t>시드 10개를 모으자 그 이야기가 사라졌다.</w:t>
      </w:r>
      <w:r>
        <w:rPr>
          <w:rFonts w:ascii="바탕" w:hAnsi="바탕" w:eastAsia="바탕"/>
          <w:b w:val="0"/>
          <w:i w:val="0"/>
          <w:sz w:val="20"/>
        </w:rPr>
        <w:t xml:space="preserve"> λ=0에서 1등과 꼴찌가 자리를 바꿔 Lazy-MDP(−127.9)가 앞서고 TempoRL(−141.4)이 뒤로 갔다. λ=0.01에서 TempoRL의 도달률은 85%가 아니라 </w:t>
      </w:r>
      <w:r>
        <w:rPr>
          <w:rFonts w:ascii="바탕" w:hAnsi="바탕" w:eastAsia="바탕"/>
          <w:b/>
          <w:i w:val="0"/>
          <w:sz w:val="20"/>
        </w:rPr>
        <w:t>13%</w:t>
      </w:r>
      <w:r>
        <w:rPr>
          <w:rFonts w:ascii="바탕" w:hAnsi="바탕" w:eastAsia="바탕"/>
          <w:b w:val="0"/>
          <w:i w:val="0"/>
          <w:sz w:val="20"/>
        </w:rPr>
        <w:t xml:space="preserve"> 였다 — 85%는 운 좋은 시드 하나였다. 다만 두 계열의 신뢰구간은 지금도 겹치므로 이 연구는 여기서도 우열을 말하지 않는다. </w:t>
      </w:r>
      <w:r>
        <w:rPr>
          <w:rFonts w:ascii="바탕" w:hAnsi="바탕" w:eastAsia="바탕"/>
          <w:b/>
          <w:i w:val="0"/>
          <w:sz w:val="20"/>
        </w:rPr>
        <w:t>한 시드로 보였던 '깔끔한 이야기'가 실은 잡음이었다는 것, 그리고 시드를 늘려도 여전히 우열을 말할 수 없다는 것 — 둘 다 이 프로토콜이 알려 준 것이다.</w:t>
      </w:r>
      <w:r>
        <w:rPr>
          <w:rFonts w:ascii="바탕" w:hAnsi="바탕" w:eastAsia="바탕"/>
          <w:b w:val="0"/>
          <w:i w:val="0"/>
          <w:sz w:val="20"/>
        </w:rPr>
        <w:t xml:space="preserve"> 기록은 </w:t>
      </w:r>
      <w:r>
        <w:rPr>
          <w:rFonts w:ascii="Consolas" w:hAnsi="Consolas" w:eastAsia="Consolas"/>
          <w:b w:val="0"/>
          <w:i w:val="0"/>
          <w:sz w:val="19"/>
        </w:rPr>
        <w:t>docs/실험일지.md</w:t>
      </w:r>
      <w:r>
        <w:rPr>
          <w:rFonts w:ascii="바탕" w:hAnsi="바탕" w:eastAsia="바탕"/>
          <w:b w:val="0"/>
          <w:i w:val="0"/>
          <w:sz w:val="20"/>
        </w:rPr>
        <w:t xml:space="preserve">(2026-08-25)에, 수치는 </w:t>
      </w:r>
      <w:r>
        <w:rPr>
          <w:rFonts w:ascii="Consolas" w:hAnsi="Consolas" w:eastAsia="Consolas"/>
          <w:b w:val="0"/>
          <w:i w:val="0"/>
          <w:sz w:val="19"/>
        </w:rPr>
        <w:t>results/aggregate/MountainCar-v0_iqm.csv</w:t>
      </w:r>
      <w:r>
        <w:rPr>
          <w:rFonts w:ascii="바탕" w:hAnsi="바탕" w:eastAsia="바탕"/>
          <w:b w:val="0"/>
          <w:i w:val="0"/>
          <w:sz w:val="20"/>
        </w:rPr>
        <w:t>에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4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4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4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4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4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4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4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4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47755"/>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4775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1000스텝이다. </w:t>
      </w:r>
      <w:r>
        <w:rPr>
          <w:rFonts w:ascii="바탕" w:hAnsi="바탕" w:eastAsia="바탕"/>
          <w:b/>
          <w:i w:val="0"/>
          <w:sz w:val="20"/>
        </w:rPr>
        <w:t>규칙 품질</w:t>
      </w:r>
      <w:r>
        <w:rPr>
          <w:rFonts w:ascii="바탕" w:hAnsi="바탕" w:eastAsia="바탕"/>
          <w:b w:val="0"/>
          <w:i w:val="0"/>
          <w:sz w:val="20"/>
        </w:rPr>
        <w:t xml:space="preserve"> 축에서는 앞의 두 환경 사이지만 </w:t>
      </w:r>
      <w:r>
        <w:rPr>
          <w:rFonts w:ascii="바탕" w:hAnsi="바탕" w:eastAsia="바탕"/>
          <w:b/>
          <w:i w:val="0"/>
          <w:sz w:val="20"/>
        </w:rPr>
        <w:t>보상 조밀도</w:t>
      </w:r>
      <w:r>
        <w:rPr>
          <w:rFonts w:ascii="바탕" w:hAnsi="바탕" w:eastAsia="바탕"/>
          <w:b w:val="0"/>
          <w:i w:val="0"/>
          <w:sz w:val="20"/>
        </w:rPr>
        <w:t xml:space="preserve"> 축에서는 MountainCar 쪽 끝이다 — 두 축이 갈리는 환경이라 어느 축이 λ*를 가르는지 시험할 수 있다(Ⅳ장 6절).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4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낮았으나(35.8), 계수를 다시 고르자 162.3까지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400"/>
        <w:jc w:val="both"/>
      </w:pPr>
      <w:r>
        <w:rPr>
          <w:rFonts w:ascii="바탕" w:hAnsi="바탕" w:eastAsia="바탕"/>
          <w:b w:val="0"/>
          <w:i w:val="0"/>
          <w:sz w:val="20"/>
        </w:rPr>
        <w:t xml:space="preserve">'조밀하다·희소하다'는 말로만 두지 않고 </w:t>
      </w:r>
      <w:r>
        <w:rPr>
          <w:rFonts w:ascii="바탕" w:hAnsi="바탕" w:eastAsia="바탕"/>
          <w:b/>
          <w:i w:val="0"/>
          <w:sz w:val="20"/>
        </w:rPr>
        <w:t>실제로 쟀다.</w:t>
      </w:r>
      <w:r>
        <w:rPr>
          <w:rFonts w:ascii="바탕" w:hAnsi="바탕" w:eastAsia="바탕"/>
          <w:b w:val="0"/>
          <w:i w:val="0"/>
          <w:sz w:val="20"/>
        </w:rPr>
        <w:t xml:space="preserve"> '보상이 0이 아닌 스텝의 비율'은 이 연구에 맞지 않는다 — MountainCar는 매 스텝 −1을 주므로 그 기준으로는 100% 조밀해 보이지만, 그 −1은 </w:t>
      </w:r>
      <w:r>
        <w:rPr>
          <w:rFonts w:ascii="바탕" w:hAnsi="바탕" w:eastAsia="바탕"/>
          <w:b/>
          <w:i w:val="0"/>
          <w:sz w:val="20"/>
        </w:rPr>
        <w:t>어느 상태에서나 같아</w:t>
      </w:r>
      <w:r>
        <w:rPr>
          <w:rFonts w:ascii="바탕" w:hAnsi="바탕" w:eastAsia="바탕"/>
          <w:b w:val="0"/>
          <w:i w:val="0"/>
          <w:sz w:val="20"/>
        </w:rPr>
        <w:t xml:space="preserve"> 아무 정보도 주지 않는다. 그래서 </w:t>
      </w:r>
      <w:r>
        <w:rPr>
          <w:rFonts w:ascii="바탕" w:hAnsi="바탕" w:eastAsia="바탕"/>
          <w:b/>
          <w:i w:val="0"/>
          <w:sz w:val="20"/>
        </w:rPr>
        <w:t>보상이 상태를 구분해 주는 정도</w:t>
      </w:r>
      <w:r>
        <w:rPr>
          <w:rFonts w:ascii="바탕" w:hAnsi="바탕" w:eastAsia="바탕"/>
          <w:b w:val="0"/>
          <w:i w:val="0"/>
          <w:sz w:val="20"/>
        </w:rPr>
        <w:t>를 쟀다. 각 환경의 기준 규칙으로 60 에피소드를 돌려, 서로 다른 보상 값이 몇 가지인지와 최빈값이 아닌 보상을 받은 스텝의 비율을 세었다.</w:t>
      </w:r>
    </w:p>
    <w:p>
      <w:pPr>
        <w:widowControl/>
        <w:spacing w:line="480" w:lineRule="auto" w:before="0" w:after="0"/>
        <w:ind w:firstLine="400"/>
        <w:jc w:val="both"/>
      </w:pPr>
      <w:r>
        <w:rPr>
          <w:rFonts w:ascii="바탕" w:hAnsi="바탕" w:eastAsia="바탕"/>
          <w:b w:val="0"/>
          <w:i w:val="0"/>
          <w:sz w:val="20"/>
        </w:rPr>
        <w:t xml:space="preserve">MountainCar에서는 서로 다른 보상 값이 </w:t>
      </w:r>
      <w:r>
        <w:rPr>
          <w:rFonts w:ascii="바탕" w:hAnsi="바탕" w:eastAsia="바탕"/>
          <w:b/>
          <w:i w:val="0"/>
          <w:sz w:val="20"/>
        </w:rPr>
        <w:t>1가지</w:t>
      </w:r>
      <w:r>
        <w:rPr>
          <w:rFonts w:ascii="바탕" w:hAnsi="바탕" w:eastAsia="바탕"/>
          <w:b w:val="0"/>
          <w:i w:val="0"/>
          <w:sz w:val="20"/>
        </w:rPr>
        <w:t xml:space="preserve">뿐이었다. 전 구간에서 같은 값만 나온다는 뜻이고, 신호가 있는 스텝은 </w:t>
      </w:r>
      <w:r>
        <w:rPr>
          <w:rFonts w:ascii="바탕" w:hAnsi="바탕" w:eastAsia="바탕"/>
          <w:b/>
          <w:i w:val="0"/>
          <w:sz w:val="20"/>
        </w:rPr>
        <w:t>0.0%</w:t>
      </w:r>
      <w:r>
        <w:rPr>
          <w:rFonts w:ascii="바탕" w:hAnsi="바탕" w:eastAsia="바탕"/>
          <w:b w:val="0"/>
          <w:i w:val="0"/>
          <w:sz w:val="20"/>
        </w:rPr>
        <w:t xml:space="preserve"> 다. LunarLander는 16,717가지에 </w:t>
      </w:r>
      <w:r>
        <w:rPr>
          <w:rFonts w:ascii="바탕" w:hAnsi="바탕" w:eastAsia="바탕"/>
          <w:b/>
          <w:i w:val="0"/>
          <w:sz w:val="20"/>
        </w:rPr>
        <w:t>99.8%</w:t>
      </w:r>
      <w:r>
        <w:rPr>
          <w:rFonts w:ascii="바탕" w:hAnsi="바탕" w:eastAsia="바탕"/>
          <w:b w:val="0"/>
          <w:i w:val="0"/>
          <w:sz w:val="20"/>
        </w:rPr>
        <w:t xml:space="preserve"> 이고, MinAtar/Freeway는 2가지에 </w:t>
      </w:r>
      <w:r>
        <w:rPr>
          <w:rFonts w:ascii="바탕" w:hAnsi="바탕" w:eastAsia="바탕"/>
          <w:b/>
          <w:i w:val="0"/>
          <w:sz w:val="20"/>
        </w:rPr>
        <w:t>1.6%</w:t>
      </w:r>
      <w:r>
        <w:rPr>
          <w:rFonts w:ascii="바탕" w:hAnsi="바탕" w:eastAsia="바탕"/>
          <w:b w:val="0"/>
          <w:i w:val="0"/>
          <w:sz w:val="20"/>
        </w:rPr>
        <w:t xml:space="preserve"> 로 그 사이에 놓인다. </w:t>
      </w:r>
      <w:r>
        <w:rPr>
          <w:rFonts w:ascii="바탕" w:hAnsi="바탕" w:eastAsia="바탕"/>
          <w:b/>
          <w:i w:val="0"/>
          <w:sz w:val="20"/>
        </w:rPr>
        <w:t>세 환경을 '희소 — 중간 — 조밀'로 부른 것이 인상이 아니라 측정이라는 뜻이다.</w:t>
      </w:r>
    </w:p>
    <w:p>
      <w:pPr>
        <w:widowControl/>
        <w:spacing w:line="480" w:lineRule="auto" w:before="0" w:after="0"/>
        <w:ind w:firstLine="4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4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4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4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4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widowControl/>
        <w:spacing w:line="480" w:lineRule="auto" w:before="0" w:after="0"/>
        <w:ind w:firstLine="400"/>
        <w:jc w:val="both"/>
      </w:pPr>
      <w:r>
        <w:rPr>
          <w:rFonts w:ascii="바탕" w:hAnsi="바탕" w:eastAsia="바탕"/>
          <w:b w:val="0"/>
          <w:i w:val="0"/>
          <w:sz w:val="20"/>
        </w:rPr>
        <w:t xml:space="preserve">네 계열은 </w:t>
      </w:r>
      <w:r>
        <w:rPr>
          <w:rFonts w:ascii="바탕" w:hAnsi="바탕" w:eastAsia="바탕"/>
          <w:b/>
          <w:i w:val="0"/>
          <w:sz w:val="20"/>
        </w:rPr>
        <w:t>'언제 행동할지'를 다루는 방식</w:t>
      </w:r>
      <w:r>
        <w:rPr>
          <w:rFonts w:ascii="바탕" w:hAnsi="바탕" w:eastAsia="바탕"/>
          <w:b w:val="0"/>
          <w:i w:val="0"/>
          <w:sz w:val="20"/>
        </w:rPr>
        <w:t>으로 나뉜다. (가)는 그 질문을 하지 않고, (나)는 한 번 고른 행동을 얼마나 오래 유지할지로, (다)는 어느 상태에서 직접 나설지로 그 질문에 답한다. (라)는 학습 없이 고정된 답을 쓴다. 이 네 가지가 같은 λ·같은 예산·같은 평가에서 겨룬다.</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4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4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4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4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4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4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4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4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4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4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400"/>
        <w:jc w:val="both"/>
      </w:pPr>
      <w:r>
        <w:rPr>
          <w:rFonts w:ascii="바탕" w:hAnsi="바탕" w:eastAsia="바탕"/>
          <w:b w:val="0"/>
          <w:i w:val="0"/>
          <w:sz w:val="20"/>
        </w:rPr>
        <w:t xml:space="preserve">한 가지만 환경에 따라 다르다. </w:t>
      </w:r>
      <w:r>
        <w:rPr>
          <w:rFonts w:ascii="바탕" w:hAnsi="바탕" w:eastAsia="바탕"/>
          <w:b/>
          <w:i w:val="0"/>
          <w:sz w:val="20"/>
        </w:rPr>
        <w:t>MinAtar/Freeway에서는 은닉층을 128×128로 키웠다.</w:t>
      </w:r>
      <w:r>
        <w:rPr>
          <w:rFonts w:ascii="바탕" w:hAnsi="바탕" w:eastAsia="바탕"/>
          <w:b w:val="0"/>
          <w:i w:val="0"/>
          <w:sz w:val="20"/>
        </w:rPr>
        <w:t xml:space="preserve"> 관측이 700차원(10×10×7 격자를 편 것)이라 50×50으로는 표현력이 모자라기 때문이다. </w:t>
      </w:r>
      <w:r>
        <w:rPr>
          <w:rFonts w:ascii="바탕" w:hAnsi="바탕" w:eastAsia="바탕"/>
          <w:b/>
          <w:i w:val="0"/>
          <w:sz w:val="20"/>
        </w:rPr>
        <w:t>세 계열에 똑같이 적용하므로 계열 간 공정 비교는 그대로 유지된다</w:t>
      </w:r>
      <w:r>
        <w:rPr>
          <w:rFonts w:ascii="바탕" w:hAnsi="바탕" w:eastAsia="바탕"/>
          <w:b w:val="0"/>
          <w:i w:val="0"/>
          <w:sz w:val="20"/>
        </w:rPr>
        <w:t xml:space="preserve"> — 이 연구가 지켜야 하는 동일성은 '환경 사이'가 아니라 '같은 환경 안의 계열 사이'다. 나머지 값은 세 환경·세 계열이 모두 같다.</w:t>
      </w:r>
    </w:p>
    <w:p>
      <w:pPr>
        <w:widowControl/>
        <w:spacing w:line="480" w:lineRule="auto" w:before="0" w:after="0"/>
        <w:ind w:firstLine="4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4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4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4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4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 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400"/>
        <w:jc w:val="both"/>
      </w:pPr>
      <w:r>
        <w:rPr>
          <w:rFonts w:ascii="바탕" w:hAnsi="바탕" w:eastAsia="바탕"/>
          <w:b/>
          <w:i w:val="0"/>
          <w:sz w:val="20"/>
        </w:rPr>
        <w:t>λ* = 학습 에이전트가 최고 고정 규칙을 더 이상 이기지 못하게 되는 가장 작은 λ.</w:t>
      </w:r>
    </w:p>
    <w:p>
      <w:pPr>
        <w:widowControl/>
        <w:spacing w:line="480" w:lineRule="auto" w:before="0" w:after="0"/>
        <w:ind w:firstLine="4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4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4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4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4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4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4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4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4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 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4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 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 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xml:space="preserve">· 조건 단위로 체크포인트를 저장해 중단되면 마지막 지점부터 이어서 돌린다. 이때 </w:t>
      </w:r>
      <w:r>
        <w:rPr>
          <w:rFonts w:ascii="바탕" w:hAnsi="바탕" w:eastAsia="바탕"/>
          <w:b/>
          <w:i w:val="0"/>
          <w:sz w:val="20"/>
        </w:rPr>
        <w:t>설정 지문</w:t>
      </w:r>
      <w:r>
        <w:rPr>
          <w:rFonts w:ascii="바탕" w:hAnsi="바탕" w:eastAsia="바탕"/>
          <w:b w:val="0"/>
          <w:i w:val="0"/>
          <w:sz w:val="20"/>
        </w:rPr>
        <w:t xml:space="preserve">(초매개변수·예산·환경을 해시로 찍은 값)을 함께 저장해, 설정이 하나라도 바뀌면 예전 체크포인트를 자동으로 버리고 처음부터 다시 돌린다. 이어하기 편의 때문에 </w:t>
      </w:r>
      <w:r>
        <w:rPr>
          <w:rFonts w:ascii="바탕" w:hAnsi="바탕" w:eastAsia="바탕"/>
          <w:b/>
          <w:i w:val="0"/>
          <w:sz w:val="20"/>
        </w:rPr>
        <w:t>다른 설정으로 만든 결과가 섞이는 것</w:t>
      </w:r>
      <w:r>
        <w:rPr>
          <w:rFonts w:ascii="바탕" w:hAnsi="바탕" w:eastAsia="바탕"/>
          <w:b w:val="0"/>
          <w:i w:val="0"/>
          <w:sz w:val="20"/>
        </w:rPr>
        <w:t>을 막기 위한 장치다</w:t>
      </w:r>
    </w:p>
    <w:p>
      <w:pPr>
        <w:spacing w:line="480" w:lineRule="auto" w:before="0" w:after="0"/>
        <w:ind w:left="340" w:hanging="198"/>
      </w:pPr>
      <w:r>
        <w:rPr>
          <w:rFonts w:ascii="바탕" w:hAnsi="바탕" w:eastAsia="바탕"/>
          <w:b w:val="0"/>
          <w:i w:val="0"/>
          <w:sz w:val="20"/>
        </w:rPr>
        <w:t>· 비용 래퍼는 자동 테스트로 지킨다 — no-op이 공짜인가, 과금이 λ×횟수와 정확히 같은가, λ=0이 원래 환경과 같은가 등 13가지를 매번 확인한다(</w:t>
      </w:r>
      <w:r>
        <w:rPr>
          <w:rFonts w:ascii="Consolas" w:hAnsi="Consolas" w:eastAsia="Consolas"/>
          <w:b w:val="0"/>
          <w:i w:val="0"/>
          <w:sz w:val="19"/>
        </w:rPr>
        <w:t>tests/run_all.py</w:t>
      </w:r>
      <w:r>
        <w:rPr>
          <w:rFonts w:ascii="바탕" w:hAnsi="바탕" w:eastAsia="바탕"/>
          <w:b w:val="0"/>
          <w:i w:val="0"/>
          <w:sz w:val="20"/>
        </w:rPr>
        <w:t>). 이 연구의 모든 숫자가 래퍼 위에 얹혀 있어 여기가 틀리면 전부 틀리기 때문이다</w:t>
      </w:r>
    </w:p>
    <w:p>
      <w:pPr>
        <w:spacing w:line="480" w:lineRule="auto" w:before="0" w:after="0"/>
        <w:ind w:left="340" w:hanging="198"/>
      </w:pPr>
      <w:r>
        <w:rPr>
          <w:rFonts w:ascii="바탕" w:hAnsi="바탕" w:eastAsia="바탕"/>
          <w:b w:val="0"/>
          <w:i w:val="0"/>
          <w:sz w:val="20"/>
        </w:rPr>
        <w:t xml:space="preserve">· 실행 중에는 감시 스크립트가 1시간마다 프로세스 생존·진행 정체·로그 예외·NaN·디스크· 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4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widowControl/>
        <w:spacing w:line="480" w:lineRule="auto" w:before="0" w:after="0"/>
        <w:ind w:firstLine="400"/>
        <w:jc w:val="both"/>
      </w:pPr>
      <w:r>
        <w:rPr>
          <w:rFonts w:ascii="바탕" w:hAnsi="바탕" w:eastAsia="바탕"/>
          <w:b/>
          <w:i w:val="0"/>
          <w:sz w:val="20"/>
        </w:rPr>
        <w:t>결론부터 적는다. 임계 비용 λ*는 하나의 숫자로 정해지지 않는다 — 환경에 따라 갈린다.</w:t>
      </w:r>
    </w:p>
    <w:p>
      <w:pPr>
        <w:widowControl/>
        <w:spacing w:line="480" w:lineRule="auto" w:before="0" w:after="0"/>
        <w:ind w:firstLine="400"/>
        <w:jc w:val="both"/>
      </w:pPr>
      <w:r>
        <w:rPr>
          <w:rFonts w:ascii="바탕" w:hAnsi="바탕" w:eastAsia="바탕"/>
          <w:b/>
          <w:i w:val="0"/>
          <w:sz w:val="20"/>
        </w:rPr>
        <w:t>MountainCar-v0, MinAtar_Freeway-v1</w:t>
      </w:r>
      <w:r>
        <w:rPr>
          <w:rFonts w:ascii="바탕" w:hAnsi="바탕" w:eastAsia="바탕"/>
          <w:b w:val="0"/>
          <w:i w:val="0"/>
          <w:sz w:val="20"/>
        </w:rPr>
        <w:t>에서는 세 학습 계열 모두 λ*가 0이다. 비용을 전혀 물리지 않아도 학습이 고정 규칙을 넘어서지 못한다는 뜻이며, 이 환경에서는 '언제 행동할지를 배우는 것'이 아니라 '학습이라는 접근 자체'가 열세다.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계열마다 다르다 — 표준 DQN λ*=1, TempoRL λ*=0, Lazy-MDP λ*=2. 같은 환경·같은 예산인데도 방법에 따라 버티는 비용 구간이 다르다는 것은, λ*가 환경만의 성질이 아니라 </w:t>
      </w:r>
      <w:r>
        <w:rPr>
          <w:rFonts w:ascii="바탕" w:hAnsi="바탕" w:eastAsia="바탕"/>
          <w:b/>
          <w:i w:val="0"/>
          <w:sz w:val="20"/>
        </w:rPr>
        <w:t>환경과 방법의 짝</w:t>
      </w:r>
      <w:r>
        <w:rPr>
          <w:rFonts w:ascii="바탕" w:hAnsi="바탕" w:eastAsia="바탕"/>
          <w:b w:val="0"/>
          <w:i w:val="0"/>
          <w:sz w:val="20"/>
        </w:rPr>
        <w:t>에 붙는 값이라는 뜻이다.</w:t>
      </w:r>
    </w:p>
    <w:p>
      <w:pPr>
        <w:widowControl/>
        <w:spacing w:line="480" w:lineRule="auto" w:before="0" w:after="0"/>
        <w:ind w:firstLine="400"/>
        <w:jc w:val="both"/>
      </w:pPr>
      <w:r>
        <w:rPr>
          <w:rFonts w:ascii="바탕" w:hAnsi="바탕" w:eastAsia="바탕"/>
          <w:b w:val="0"/>
          <w:i w:val="0"/>
          <w:sz w:val="20"/>
        </w:rPr>
        <w:t>아래 표가 그 값들이다. 두 가지 엄격도로 함께 적었다 — 신뢰구간이 겹치기 시작하는 λ(엄격)와 IQM이 교차하는 λ(느슨)다.</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MinAtar Freeway</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widowControl/>
        <w:spacing w:line="480" w:lineRule="auto" w:before="0" w:after="0"/>
        <w:ind w:firstLine="400"/>
        <w:jc w:val="both"/>
      </w:pPr>
      <w:r>
        <w:rPr>
          <w:rFonts w:ascii="바탕" w:hAnsi="바탕" w:eastAsia="바탕"/>
          <w:b w:val="0"/>
          <w:i w:val="0"/>
          <w:sz w:val="20"/>
        </w:rPr>
        <w:t xml:space="preserve">아래 표의 조건은 세 환경에 공통으로 적용된다. </w:t>
      </w:r>
      <w:r>
        <w:rPr>
          <w:rFonts w:ascii="바탕" w:hAnsi="바탕" w:eastAsia="바탕"/>
          <w:b/>
          <w:i w:val="0"/>
          <w:sz w:val="20"/>
        </w:rPr>
        <w:t>λ를 뺀 모든 것을 같게 맞추는 것</w:t>
      </w:r>
      <w:r>
        <w:rPr>
          <w:rFonts w:ascii="바탕" w:hAnsi="바탕" w:eastAsia="바탕"/>
          <w:b w:val="0"/>
          <w:i w:val="0"/>
          <w:sz w:val="20"/>
        </w:rPr>
        <w:t>이 이 연구의 설계 전체이므로, 예산·시드·평가 방식·초매개변수를 한자리에 모아 둔다.</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widowControl/>
        <w:spacing w:line="480" w:lineRule="auto" w:before="0" w:after="0"/>
        <w:ind w:firstLine="400"/>
        <w:jc w:val="both"/>
      </w:pPr>
      <w:r>
        <w:rPr>
          <w:rFonts w:ascii="바탕" w:hAnsi="바탕" w:eastAsia="바탕"/>
          <w:b w:val="0"/>
          <w:i w:val="0"/>
          <w:sz w:val="20"/>
        </w:rPr>
        <w:t xml:space="preserve">환경마다 λ*가 왜 그렇게 갈렸는지를 하나씩 본다. 순서는 </w:t>
      </w:r>
      <w:r>
        <w:rPr>
          <w:rFonts w:ascii="바탕" w:hAnsi="바탕" w:eastAsia="바탕"/>
          <w:b/>
          <w:i w:val="0"/>
          <w:sz w:val="20"/>
        </w:rPr>
        <w:t>가장 극단적인 환경부터</w:t>
      </w:r>
      <w:r>
        <w:rPr>
          <w:rFonts w:ascii="바탕" w:hAnsi="바탕" w:eastAsia="바탕"/>
          <w:b w:val="0"/>
          <w:i w:val="0"/>
          <w:sz w:val="20"/>
        </w:rPr>
        <w:t>다 — MountainCar에서 무엇이 무너지는지를 먼저 보면, LunarLander가 왜 다른지가 대비로 드러난다.</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4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1791"/>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760000" cy="3441791"/>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400"/>
        <w:jc w:val="both"/>
      </w:pPr>
      <w:r>
        <w:rPr>
          <w:rFonts w:ascii="바탕" w:hAnsi="바탕" w:eastAsia="바탕"/>
          <w:b w:val="0"/>
          <w:i w:val="0"/>
          <w:sz w:val="20"/>
        </w:rPr>
        <w:t>보상이 조밀한 제어 문제다. 매 스텝 자세·속도·연료에 대한 신호가 들어오고, 표준 DQN이 정상적으로 학습된다. 고정 규칙은 처음 손으로 짠 계수로는 점수가 낮았지만(35.8), 계수를 다시 고르자 162.3까지 올라 학습에 근접한다(Ⅲ장 6.2절의 기준선 감사). 표에는 두 규칙을 함께 실어 그 차이를 보인다. 조건당 환경 200,000스텝, 학습 계열은 λ 12개(격자 12개 중) · 시드 10개까지 완료된 집계다.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-33 [-93, -14]</w:t>
            </w:r>
          </w:p>
        </w:tc>
        <w:tc>
          <w:tcPr>
            <w:tcW w:type="dxa" w:w="1296"/>
          </w:tcPr>
          <w:p>
            <w:pPr>
              <w:spacing w:line="240" w:lineRule="auto"/>
              <w:jc w:val="center"/>
            </w:pPr>
            <w:r>
              <w:rPr>
                <w:rFonts w:ascii="바탕" w:hAnsi="바탕" w:eastAsia="바탕"/>
                <w:b w:val="0"/>
                <w:i w:val="0"/>
                <w:sz w:val="18"/>
              </w:rPr>
              <w:t>-28 [-62, -4]</w:t>
            </w:r>
          </w:p>
        </w:tc>
        <w:tc>
          <w:tcPr>
            <w:tcW w:type="dxa" w:w="1296"/>
          </w:tcPr>
          <w:p>
            <w:pPr>
              <w:spacing w:line="240" w:lineRule="auto"/>
              <w:jc w:val="center"/>
            </w:pPr>
            <w:r>
              <w:rPr>
                <w:rFonts w:ascii="바탕" w:hAnsi="바탕" w:eastAsia="바탕"/>
                <w:b w:val="0"/>
                <w:i w:val="0"/>
                <w:sz w:val="18"/>
              </w:rPr>
              <w:t>5 [-17, 27]</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-150 [-200, -119]</w:t>
            </w:r>
          </w:p>
        </w:tc>
        <w:tc>
          <w:tcPr>
            <w:tcW w:type="dxa" w:w="1296"/>
          </w:tcPr>
          <w:p>
            <w:pPr>
              <w:spacing w:line="240" w:lineRule="auto"/>
              <w:jc w:val="center"/>
            </w:pPr>
            <w:r>
              <w:rPr>
                <w:rFonts w:ascii="바탕" w:hAnsi="바탕" w:eastAsia="바탕"/>
                <w:b w:val="0"/>
                <w:i w:val="0"/>
                <w:sz w:val="18"/>
              </w:rPr>
              <w:t>-202 [-311, -136]</w:t>
            </w:r>
          </w:p>
        </w:tc>
        <w:tc>
          <w:tcPr>
            <w:tcW w:type="dxa" w:w="1296"/>
          </w:tcPr>
          <w:p>
            <w:pPr>
              <w:spacing w:line="240" w:lineRule="auto"/>
              <w:jc w:val="center"/>
            </w:pPr>
            <w:r>
              <w:rPr>
                <w:rFonts w:ascii="바탕" w:hAnsi="바탕" w:eastAsia="바탕"/>
                <w:b w:val="0"/>
                <w:i w:val="0"/>
                <w:sz w:val="18"/>
              </w:rPr>
              <w:t>-61 [-87, -31]</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-146 [-232, -111]</w:t>
            </w:r>
          </w:p>
        </w:tc>
        <w:tc>
          <w:tcPr>
            <w:tcW w:type="dxa" w:w="1296"/>
          </w:tcPr>
          <w:p>
            <w:pPr>
              <w:spacing w:line="240" w:lineRule="auto"/>
              <w:jc w:val="center"/>
            </w:pPr>
            <w:r>
              <w:rPr>
                <w:rFonts w:ascii="바탕" w:hAnsi="바탕" w:eastAsia="바탕"/>
                <w:b w:val="0"/>
                <w:i w:val="0"/>
                <w:sz w:val="18"/>
              </w:rPr>
              <w:t>-139 [-288, -103]</w:t>
            </w:r>
          </w:p>
        </w:tc>
        <w:tc>
          <w:tcPr>
            <w:tcW w:type="dxa" w:w="1296"/>
          </w:tcPr>
          <w:p>
            <w:pPr>
              <w:spacing w:line="240" w:lineRule="auto"/>
              <w:jc w:val="center"/>
            </w:pPr>
            <w:r>
              <w:rPr>
                <w:rFonts w:ascii="바탕" w:hAnsi="바탕" w:eastAsia="바탕"/>
                <w:b w:val="0"/>
                <w:i w:val="0"/>
                <w:sz w:val="18"/>
              </w:rPr>
              <w:t>-97 [-108, -77]</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-259 [-380, -170]</w:t>
            </w:r>
          </w:p>
        </w:tc>
        <w:tc>
          <w:tcPr>
            <w:tcW w:type="dxa" w:w="1296"/>
          </w:tcPr>
          <w:p>
            <w:pPr>
              <w:spacing w:line="240" w:lineRule="auto"/>
              <w:jc w:val="center"/>
            </w:pPr>
            <w:r>
              <w:rPr>
                <w:rFonts w:ascii="바탕" w:hAnsi="바탕" w:eastAsia="바탕"/>
                <w:b w:val="0"/>
                <w:i w:val="0"/>
                <w:sz w:val="18"/>
              </w:rPr>
              <w:t>-161 [-238, -129]</w:t>
            </w:r>
          </w:p>
        </w:tc>
        <w:tc>
          <w:tcPr>
            <w:tcW w:type="dxa" w:w="1296"/>
          </w:tcPr>
          <w:p>
            <w:pPr>
              <w:spacing w:line="240" w:lineRule="auto"/>
              <w:jc w:val="center"/>
            </w:pPr>
            <w:r>
              <w:rPr>
                <w:rFonts w:ascii="바탕" w:hAnsi="바탕" w:eastAsia="바탕"/>
                <w:b w:val="0"/>
                <w:i w:val="0"/>
                <w:sz w:val="18"/>
              </w:rPr>
              <w:t>-192 [-299, -157]</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0865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760000" cy="34086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전체(12/12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left="340" w:hanging="198"/>
      </w:pPr>
      <w:r>
        <w:rPr>
          <w:rFonts w:ascii="바탕" w:hAnsi="바탕" w:eastAsia="바탕"/>
          <w:b w:val="0"/>
          <w:i w:val="0"/>
          <w:sz w:val="20"/>
        </w:rPr>
        <w:t xml:space="preserve">· λ=1.8에서는 </w:t>
      </w:r>
      <w:r>
        <w:rPr>
          <w:rFonts w:ascii="바탕" w:hAnsi="바탕" w:eastAsia="바탕"/>
          <w:b/>
          <w:i w:val="0"/>
          <w:sz w:val="20"/>
        </w:rPr>
        <w:t>Lazy-MDP만</w:t>
      </w:r>
      <w:r>
        <w:rPr>
          <w:rFonts w:ascii="바탕" w:hAnsi="바탕" w:eastAsia="바탕"/>
          <w:b w:val="0"/>
          <w:i w:val="0"/>
          <w:sz w:val="20"/>
        </w:rPr>
        <w:t xml:space="preserve"> 최강 규칙을 이긴다(-97 대 -131, 신뢰구간 분리). 같은 λ에서 표준 DQN -146 · TempoRL -139는 규칙에 미치지 못한다. 한 계열만 이기는 λ는 0.1, 0.3, 1.2, 1.6, 1.8 로 5개인데 </w:t>
      </w:r>
      <w:r>
        <w:rPr>
          <w:rFonts w:ascii="바탕" w:hAnsi="바탕" w:eastAsia="바탕"/>
          <w:b/>
          <w:i w:val="0"/>
          <w:sz w:val="20"/>
        </w:rPr>
        <w:t>모두 Lazy-MDP이다</w:t>
      </w:r>
      <w:r>
        <w:rPr>
          <w:rFonts w:ascii="바탕" w:hAnsi="바탕" w:eastAsia="바탕"/>
          <w:b w:val="0"/>
          <w:i w:val="0"/>
          <w:sz w:val="20"/>
        </w:rPr>
        <w:t xml:space="preserve"> — 어느 한 지점에서 우연히 앞선 것이 아니다.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178</w:t>
            </w:r>
          </w:p>
        </w:tc>
        <w:tc>
          <w:tcPr>
            <w:tcW w:type="dxa" w:w="1134"/>
          </w:tcPr>
          <w:p>
            <w:pPr>
              <w:keepNext/>
              <w:spacing w:line="240" w:lineRule="auto"/>
              <w:jc w:val="center"/>
            </w:pPr>
            <w:r>
              <w:rPr>
                <w:rFonts w:ascii="바탕" w:hAnsi="바탕" w:eastAsia="바탕"/>
                <w:b w:val="0"/>
                <w:i w:val="0"/>
                <w:sz w:val="18"/>
              </w:rPr>
              <w:t>171</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168</w:t>
            </w:r>
          </w:p>
        </w:tc>
        <w:tc>
          <w:tcPr>
            <w:tcW w:type="dxa" w:w="1134"/>
          </w:tcPr>
          <w:p>
            <w:pPr>
              <w:keepNext/>
              <w:spacing w:line="240" w:lineRule="auto"/>
              <w:jc w:val="center"/>
            </w:pPr>
            <w:r>
              <w:rPr>
                <w:rFonts w:ascii="바탕" w:hAnsi="바탕" w:eastAsia="바탕"/>
                <w:b w:val="0"/>
                <w:i w:val="0"/>
                <w:sz w:val="18"/>
              </w:rPr>
              <w:t>194</w:t>
            </w:r>
          </w:p>
        </w:tc>
        <w:tc>
          <w:tcPr>
            <w:tcW w:type="dxa" w:w="1134"/>
          </w:tcPr>
          <w:p>
            <w:pPr>
              <w:keepNext/>
              <w:spacing w:line="240" w:lineRule="auto"/>
              <w:jc w:val="center"/>
            </w:pPr>
            <w:r>
              <w:rPr>
                <w:rFonts w:ascii="바탕" w:hAnsi="바탕" w:eastAsia="바탕"/>
                <w:b w:val="0"/>
                <w:i w:val="0"/>
                <w:sz w:val="18"/>
              </w:rPr>
              <w:t>106</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134</w:t>
            </w:r>
          </w:p>
        </w:tc>
        <w:tc>
          <w:tcPr>
            <w:tcW w:type="dxa" w:w="1134"/>
          </w:tcPr>
          <w:p>
            <w:pPr>
              <w:keepNext/>
              <w:spacing w:line="240" w:lineRule="auto"/>
              <w:jc w:val="center"/>
            </w:pPr>
            <w:r>
              <w:rPr>
                <w:rFonts w:ascii="바탕" w:hAnsi="바탕" w:eastAsia="바탕"/>
                <w:b w:val="0"/>
                <w:i w:val="0"/>
                <w:sz w:val="18"/>
              </w:rPr>
              <w:t>111</w:t>
            </w:r>
          </w:p>
        </w:tc>
        <w:tc>
          <w:tcPr>
            <w:tcW w:type="dxa" w:w="1134"/>
          </w:tcPr>
          <w:p>
            <w:pPr>
              <w:keepNext/>
              <w:spacing w:line="240" w:lineRule="auto"/>
              <w:jc w:val="center"/>
            </w:pPr>
            <w:r>
              <w:rPr>
                <w:rFonts w:ascii="바탕" w:hAnsi="바탕" w:eastAsia="바탕"/>
                <w:b w:val="0"/>
                <w:i w:val="0"/>
                <w:sz w:val="18"/>
              </w:rPr>
              <w:t>75</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115</w:t>
            </w:r>
          </w:p>
        </w:tc>
        <w:tc>
          <w:tcPr>
            <w:tcW w:type="dxa" w:w="1134"/>
          </w:tcPr>
          <w:p>
            <w:pPr>
              <w:keepNext/>
              <w:spacing w:line="240" w:lineRule="auto"/>
              <w:jc w:val="center"/>
            </w:pPr>
            <w:r>
              <w:rPr>
                <w:rFonts w:ascii="바탕" w:hAnsi="바탕" w:eastAsia="바탕"/>
                <w:b w:val="0"/>
                <w:i w:val="0"/>
                <w:sz w:val="18"/>
              </w:rPr>
              <w:t>60</w:t>
            </w:r>
          </w:p>
        </w:tc>
        <w:tc>
          <w:tcPr>
            <w:tcW w:type="dxa" w:w="1134"/>
          </w:tcPr>
          <w:p>
            <w:pPr>
              <w:keepNext/>
              <w:spacing w:line="240" w:lineRule="auto"/>
              <w:jc w:val="center"/>
            </w:pPr>
            <w:r>
              <w:rPr>
                <w:rFonts w:ascii="바탕" w:hAnsi="바탕" w:eastAsia="바탕"/>
                <w:b w:val="0"/>
                <w:i w:val="0"/>
                <w:sz w:val="18"/>
              </w:rPr>
              <w:t>92</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200" w:after="80"/>
        <w:jc w:val="left"/>
      </w:pPr>
      <w:r>
        <w:rPr>
          <w:rFonts w:ascii="맑은 고딕" w:hAnsi="맑은 고딕" w:eastAsia="맑은 고딕"/>
          <w:b/>
          <w:i w:val="0"/>
          <w:sz w:val="22"/>
        </w:rPr>
        <w:t>5. 무엇이 두 환경을 갈랐나</w:t>
      </w:r>
    </w:p>
    <w:p>
      <w:pPr>
        <w:widowControl/>
        <w:spacing w:line="480" w:lineRule="auto" w:before="0" w:after="0"/>
        <w:ind w:firstLine="400"/>
        <w:jc w:val="both"/>
      </w:pPr>
      <w:r>
        <w:rPr>
          <w:rFonts w:ascii="바탕" w:hAnsi="바탕" w:eastAsia="바탕"/>
          <w:b w:val="0"/>
          <w:i w:val="0"/>
          <w:sz w:val="20"/>
        </w:rPr>
        <w:t xml:space="preserve">앞 절은 </w:t>
      </w:r>
      <w:r>
        <w:rPr>
          <w:rFonts w:ascii="바탕" w:hAnsi="바탕" w:eastAsia="바탕"/>
          <w:b/>
          <w:i w:val="0"/>
          <w:sz w:val="20"/>
        </w:rPr>
        <w:t>무슨 일이 일어났는지</w:t>
      </w:r>
      <w:r>
        <w:rPr>
          <w:rFonts w:ascii="바탕" w:hAnsi="바탕" w:eastAsia="바탕"/>
          <w:b w:val="0"/>
          <w:i w:val="0"/>
          <w:sz w:val="20"/>
        </w:rPr>
        <w:t xml:space="preserve">를 보였다. 이 절은 </w:t>
      </w:r>
      <w:r>
        <w:rPr>
          <w:rFonts w:ascii="바탕" w:hAnsi="바탕" w:eastAsia="바탕"/>
          <w:b/>
          <w:i w:val="0"/>
          <w:sz w:val="20"/>
        </w:rPr>
        <w:t>왜 그런지</w:t>
      </w:r>
      <w:r>
        <w:rPr>
          <w:rFonts w:ascii="바탕" w:hAnsi="바탕" w:eastAsia="바탕"/>
          <w:b w:val="0"/>
          <w:i w:val="0"/>
          <w:sz w:val="20"/>
        </w:rPr>
        <w:t>를 묻는다. 보상이 희소한 환경에서 학습이 무너지는 방식을 먼저 보고(5.1), 그것이 최적해인지 탐험 실패인지를 대조 실험으로 가른 뒤(5.2), 아낀 행동으로 무엇을 얻었는지를 본다(5.3).</w:t>
      </w:r>
    </w:p>
    <w:p>
      <w:pPr>
        <w:keepNext/>
        <w:widowControl/>
        <w:spacing w:line="312" w:lineRule="auto" w:before="160" w:after="60"/>
        <w:jc w:val="left"/>
      </w:pPr>
      <w:r>
        <w:rPr>
          <w:rFonts w:ascii="맑은 고딕" w:hAnsi="맑은 고딕" w:eastAsia="맑은 고딕"/>
          <w:b/>
          <w:i w:val="0"/>
          <w:sz w:val="20"/>
        </w:rPr>
        <w:t>5.1 무행동 붕괴 — 아주 작은 비용에서 학습이 멈춘다</w:t>
      </w:r>
    </w:p>
    <w:p>
      <w:pPr>
        <w:widowControl/>
        <w:spacing w:line="480" w:lineRule="auto" w:before="0" w:after="0"/>
        <w:ind w:firstLine="4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400"/>
        <w:jc w:val="both"/>
      </w:pPr>
      <w:r>
        <w:rPr>
          <w:rFonts w:ascii="바탕" w:hAnsi="바탕" w:eastAsia="바탕"/>
          <w:b w:val="0"/>
          <w:i w:val="0"/>
          <w:sz w:val="20"/>
        </w:rPr>
        <w:t xml:space="preserve">이 문턱들은 에피소드 보상 규모에 견주면 매우 작다. MountainCar의 한 에피소드 보상은 −200에서 −120 사이인데, 에피소드에서 물게 되는 비용 총액이 그 크기의 0.5%(1% 미만)만 되어도 학습은 목표에 닿기를 포기한다. </w:t>
      </w:r>
      <w:r>
        <w:rPr>
          <w:rFonts w:ascii="바탕" w:hAnsi="바탕" w:eastAsia="바탕"/>
          <w:b/>
          <w:i w:val="0"/>
          <w:sz w:val="20"/>
        </w:rPr>
        <w:t>행동 1번의 값이 아니라, 한 에피소드에 물게 되는 비용 총액이 그만큼이라는 뜻이다.</w:t>
      </w:r>
    </w:p>
    <w:p>
      <w:pPr>
        <w:widowControl/>
        <w:spacing w:line="480" w:lineRule="auto" w:before="0" w:after="0"/>
        <w:ind w:firstLine="4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5.2 무행동 붕괴는 최적해인가, 탐험 실패인가 (대조 실험)</w:t>
      </w:r>
    </w:p>
    <w:p>
      <w:pPr>
        <w:widowControl/>
        <w:spacing w:line="480" w:lineRule="auto" w:before="0" w:after="0"/>
        <w:ind w:firstLine="4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widowControl/>
        <w:spacing w:line="480" w:lineRule="auto" w:before="0" w:after="0"/>
        <w:ind w:firstLine="400"/>
        <w:jc w:val="both"/>
      </w:pPr>
      <w:r>
        <w:rPr>
          <w:rFonts w:ascii="바탕" w:hAnsi="바탕" w:eastAsia="바탕"/>
          <w:b w:val="0"/>
          <w:i w:val="0"/>
          <w:sz w:val="20"/>
        </w:rPr>
        <w:t xml:space="preserve">그림 5가 그 결과다. 화살표는 </w:t>
      </w:r>
      <w:r>
        <w:rPr>
          <w:rFonts w:ascii="바탕" w:hAnsi="바탕" w:eastAsia="바탕"/>
          <w:b/>
          <w:i w:val="0"/>
          <w:sz w:val="20"/>
        </w:rPr>
        <w:t>같은 λ·같은 예산·같은 시드에서 비용을 켜는 시점만 바꿨을 때</w:t>
      </w:r>
      <w:r>
        <w:rPr>
          <w:rFonts w:ascii="바탕" w:hAnsi="바탕" w:eastAsia="바탕"/>
          <w:b w:val="0"/>
          <w:i w:val="0"/>
          <w:sz w:val="20"/>
        </w:rPr>
        <w:t>의 변화다. 아홉 조건 모두 도달률이 올라갔고, 내려간 조건은 하나도 없다.</w:t>
      </w:r>
    </w:p>
    <w:p>
      <w:pPr>
        <w:keepNext/>
        <w:spacing w:line="240" w:lineRule="auto" w:before="160"/>
        <w:jc w:val="center"/>
      </w:pPr>
      <w:r>
        <w:drawing>
          <wp:inline xmlns:a="http://schemas.openxmlformats.org/drawingml/2006/main" xmlns:pic="http://schemas.openxmlformats.org/drawingml/2006/picture">
            <wp:extent cx="5760000" cy="2462242"/>
            <wp:docPr id="5" name="Picture 5"/>
            <wp:cNvGraphicFramePr>
              <a:graphicFrameLocks noChangeAspect="1"/>
            </wp:cNvGraphicFramePr>
            <a:graphic>
              <a:graphicData uri="http://schemas.openxmlformats.org/drawingml/2006/picture">
                <pic:pic>
                  <pic:nvPicPr>
                    <pic:cNvPr id="0" name="fig_causal_warmup_vs_from_start.png"/>
                    <pic:cNvPicPr/>
                  </pic:nvPicPr>
                  <pic:blipFill>
                    <a:blip r:embed="rId14"/>
                    <a:stretch>
                      <a:fillRect/>
                    </a:stretch>
                  </pic:blipFill>
                  <pic:spPr>
                    <a:xfrm>
                      <a:off x="0" y="0"/>
                      <a:ext cx="5760000" cy="2462242"/>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비용을 켜는 시점만 바꾸면 결과가 달라진다 — 무행동 붕괴는 탐험 실패다 (MountainCar-v0)</w:t>
      </w:r>
    </w:p>
    <w:p>
      <w:pPr>
        <w:widowControl/>
        <w:spacing w:line="276" w:lineRule="auto" w:before="0" w:after="80"/>
        <w:jc w:val="center"/>
      </w:pPr>
      <w:r>
        <w:rPr>
          <w:rFonts w:ascii="맑은 고딕" w:hAnsi="맑은 고딕" w:eastAsia="맑은 고딕"/>
          <w:b w:val="0"/>
          <w:i/>
          <w:sz w:val="18"/>
        </w:rPr>
        <w:t>Fig. 5. Only the moment the cost is switched on differs: the collapse to inaction is an exploration failure, not an optimum (MountainCar-v0)</w:t>
      </w:r>
    </w:p>
    <w:p>
      <w:pPr>
        <w:widowControl/>
        <w:spacing w:line="276" w:lineRule="auto" w:before="0" w:after="160"/>
        <w:jc w:val="center"/>
      </w:pPr>
      <w:r>
        <w:rPr>
          <w:rFonts w:ascii="맑은 고딕" w:hAnsi="맑은 고딕" w:eastAsia="맑은 고딕"/>
          <w:b w:val="0"/>
          <w:i w:val="0"/>
          <w:color w:val="555555"/>
          <w:sz w:val="17"/>
        </w:rPr>
        <w:t>빈 점은 처음부터 비용을 문 조건, 채운 점은 예산의 앞 절반을 비용 없이 학습시킨 조건이며 화살표는 그 변화다. 두 조건은 환경 스텝 예산·시드·평가 방식이 모두 같고 **학습 중 보상 신호만** 다르다. 평가는 양쪽 모두 진짜 λ로 한다 — 성적표는 언제나 비용이 있는 세상에서 매긴다. 비교 9건 중 5건이 '탐험 실패'로 판정됐고, '무행동이 최적'을 지지하는 조건은 하나도 없었다.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4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160" w:after="60"/>
        <w:jc w:val="left"/>
      </w:pPr>
      <w:r>
        <w:rPr>
          <w:rFonts w:ascii="맑은 고딕" w:hAnsi="맑은 고딕" w:eastAsia="맑은 고딕"/>
          <w:b/>
          <w:i w:val="0"/>
          <w:sz w:val="20"/>
        </w:rPr>
        <w:t>5.3 행동을 아낀 만큼 무엇을 얻었는가</w:t>
      </w:r>
    </w:p>
    <w:p>
      <w:pPr>
        <w:widowControl/>
        <w:spacing w:line="480" w:lineRule="auto" w:before="0" w:after="0"/>
        <w:ind w:firstLine="400"/>
        <w:jc w:val="both"/>
      </w:pPr>
      <w:r>
        <w:rPr>
          <w:rFonts w:ascii="바탕" w:hAnsi="바탕" w:eastAsia="바탕"/>
          <w:b w:val="0"/>
          <w:i w:val="0"/>
          <w:sz w:val="20"/>
        </w:rPr>
        <w:t xml:space="preserve">앞의 지도는 비용까지 반영한 점수 r′만 보여 준다. 그래서 </w:t>
      </w:r>
      <w:r>
        <w:rPr>
          <w:rFonts w:ascii="바탕" w:hAnsi="바탕" w:eastAsia="바탕"/>
          <w:b/>
          <w:i w:val="0"/>
          <w:sz w:val="20"/>
        </w:rPr>
        <w:t>행동을 줄여서 이긴 것</w:t>
      </w:r>
      <w:r>
        <w:rPr>
          <w:rFonts w:ascii="바탕" w:hAnsi="바탕" w:eastAsia="바탕"/>
          <w:b w:val="0"/>
          <w:i w:val="0"/>
          <w:sz w:val="20"/>
        </w:rPr>
        <w:t xml:space="preserve">과 </w:t>
      </w:r>
      <w:r>
        <w:rPr>
          <w:rFonts w:ascii="바탕" w:hAnsi="바탕" w:eastAsia="바탕"/>
          <w:b/>
          <w:i w:val="0"/>
          <w:sz w:val="20"/>
        </w:rPr>
        <w:t>그냥 잘해서 이긴 것</w:t>
      </w:r>
      <w:r>
        <w:rPr>
          <w:rFonts w:ascii="바탕" w:hAnsi="바탕" w:eastAsia="바탕"/>
          <w:b w:val="0"/>
          <w:i w:val="0"/>
          <w:sz w:val="20"/>
        </w:rPr>
        <w:t xml:space="preserve">이 구분되지 않는다. 가로를 행동 횟수, 세로를 </w:t>
      </w:r>
      <w:r>
        <w:rPr>
          <w:rFonts w:ascii="바탕" w:hAnsi="바탕" w:eastAsia="바탕"/>
          <w:b/>
          <w:i w:val="0"/>
          <w:sz w:val="20"/>
        </w:rPr>
        <w:t>비용 빼기 전</w:t>
      </w:r>
      <w:r>
        <w:rPr>
          <w:rFonts w:ascii="바탕" w:hAnsi="바탕" w:eastAsia="바탕"/>
          <w:b w:val="0"/>
          <w:i w:val="0"/>
          <w:sz w:val="20"/>
        </w:rPr>
        <w:t xml:space="preserve"> 원보상 r로 놓으면 그 둘이 갈라진다. 왼쪽 위로 갈수록 좋다 — 적게 움직이고 많이 받는 쪽이다.</w:t>
      </w:r>
    </w:p>
    <w:p>
      <w:pPr>
        <w:keepNext/>
        <w:spacing w:line="240" w:lineRule="auto" w:before="160"/>
        <w:jc w:val="center"/>
      </w:pPr>
      <w:r>
        <w:drawing>
          <wp:inline xmlns:a="http://schemas.openxmlformats.org/drawingml/2006/main" xmlns:pic="http://schemas.openxmlformats.org/drawingml/2006/picture">
            <wp:extent cx="5400000" cy="1800000"/>
            <wp:docPr id="6" name="Picture 6"/>
            <wp:cNvGraphicFramePr>
              <a:graphicFrameLocks noChangeAspect="1"/>
            </wp:cNvGraphicFramePr>
            <a:graphic>
              <a:graphicData uri="http://schemas.openxmlformats.org/drawingml/2006/picture">
                <pic:pic>
                  <pic:nvPicPr>
                    <pic:cNvPr id="0" name="fig_tradeoff_actions_vs_return.png"/>
                    <pic:cNvPicPr/>
                  </pic:nvPicPr>
                  <pic:blipFill>
                    <a:blip r:embed="rId15"/>
                    <a:stretch>
                      <a:fillRect/>
                    </a:stretch>
                  </pic:blipFill>
                  <pic:spPr>
                    <a:xfrm>
                      <a:off x="0" y="0"/>
                      <a:ext cx="5400000" cy="1800000"/>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6. 행동을 아낀 만큼 무엇을 얻었는가 — 행동 횟수와 원보상의 상충</w:t>
      </w:r>
    </w:p>
    <w:p>
      <w:pPr>
        <w:widowControl/>
        <w:spacing w:line="276" w:lineRule="auto" w:before="0" w:after="80"/>
        <w:jc w:val="center"/>
      </w:pPr>
      <w:r>
        <w:rPr>
          <w:rFonts w:ascii="맑은 고딕" w:hAnsi="맑은 고딕" w:eastAsia="맑은 고딕"/>
          <w:b w:val="0"/>
          <w:i/>
          <w:sz w:val="18"/>
        </w:rPr>
        <w:t>Fig. 6. What the saved actions buy: episode actions versus raw return (before cost)</w:t>
      </w:r>
    </w:p>
    <w:p>
      <w:pPr>
        <w:widowControl/>
        <w:spacing w:line="276" w:lineRule="auto" w:before="0" w:after="160"/>
        <w:jc w:val="center"/>
      </w:pPr>
      <w:r>
        <w:rPr>
          <w:rFonts w:ascii="맑은 고딕" w:hAnsi="맑은 고딕" w:eastAsia="맑은 고딕"/>
          <w:b w:val="0"/>
          <w:i w:val="0"/>
          <w:color w:val="555555"/>
          <w:sz w:val="17"/>
        </w:rPr>
        <w:t>세로축은 **비용을 빼기 전** 원보상이라 '행동을 줄여서 이긴 것'과 '그냥 잘해서 이긴 것'이 구분된다. 선은 λ를 0부터 키우며 이은 것이고 양 끝에 λ를 적었다. 왼쪽 위로 갈수록 좋다. 옅은 붉은 영역은 **기준 규칙보다 행동은 더 쓰고 보상은 더 적은** 자리다 — 그 안에 있으면 어떤 λ에서도 기준 규칙을 이길 수 없다. 이 축에서 같은 비용 반영 점수 r′를 주는 점들은 기울기 λ의 직선을 이룬다.</w:t>
      </w:r>
    </w:p>
    <w:p>
      <w:pPr>
        <w:widowControl/>
        <w:spacing w:line="480" w:lineRule="auto" w:before="0" w:after="0"/>
        <w:ind w:firstLine="400"/>
        <w:jc w:val="both"/>
      </w:pPr>
      <w:r>
        <w:rPr>
          <w:rFonts w:ascii="바탕" w:hAnsi="바탕" w:eastAsia="바탕"/>
          <w:b/>
          <w:i w:val="0"/>
          <w:sz w:val="20"/>
        </w:rPr>
        <w:t>MountainCar-v0</w:t>
      </w:r>
      <w:r>
        <w:rPr>
          <w:rFonts w:ascii="바탕" w:hAnsi="바탕" w:eastAsia="바탕"/>
          <w:b w:val="0"/>
          <w:i w:val="0"/>
          <w:sz w:val="20"/>
        </w:rPr>
        <w:t xml:space="preserve">에서는 어떤 계열도 pump 규칙(119회 · -119점)보다 </w:t>
      </w:r>
      <w:r>
        <w:rPr>
          <w:rFonts w:ascii="바탕" w:hAnsi="바탕" w:eastAsia="바탕"/>
          <w:b/>
          <w:i w:val="0"/>
          <w:sz w:val="20"/>
        </w:rPr>
        <w:t>행동은 적게 쓰면서 보상은 더 받는</w:t>
      </w:r>
      <w:r>
        <w:rPr>
          <w:rFonts w:ascii="바탕" w:hAnsi="바탕" w:eastAsia="바탕"/>
          <w:b w:val="0"/>
          <w:i w:val="0"/>
          <w:sz w:val="20"/>
        </w:rPr>
        <w:t xml:space="preserve"> 지점에 닿지 못했다. 그림에서 모든 궤적이 규칙 아래에 있다 — 비용을 어떻게 매기든 이 규칙을 이길 수 없다는 뜻이다.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에서는 Lazy-MDP가 λ=0.3에서 151회 · 193점에 닿는다. 임계값 규칙(튜닝)(162회 · 162점)보다 </w:t>
      </w:r>
      <w:r>
        <w:rPr>
          <w:rFonts w:ascii="바탕" w:hAnsi="바탕" w:eastAsia="바탕"/>
          <w:b/>
          <w:i w:val="0"/>
          <w:sz w:val="20"/>
        </w:rPr>
        <w:t>행동은 12회 적게 쓰면서 보상은 31점 더 받는다.</w:t>
      </w:r>
      <w:r>
        <w:rPr>
          <w:rFonts w:ascii="바탕" w:hAnsi="바탕" w:eastAsia="바탕"/>
          <w:b w:val="0"/>
          <w:i w:val="0"/>
          <w:sz w:val="20"/>
        </w:rPr>
        <w:t xml:space="preserve"> 학습이 규칙을 이긴 것이 '행동을 줄여서'가 아니라 '같은 행동으로 더 잘해서'라는 뜻이다.</w:t>
      </w:r>
    </w:p>
    <w:p>
      <w:pPr>
        <w:widowControl/>
        <w:spacing w:line="480" w:lineRule="auto" w:before="0" w:after="0"/>
        <w:ind w:firstLine="400"/>
        <w:jc w:val="both"/>
      </w:pPr>
      <w:r>
        <w:rPr>
          <w:rFonts w:ascii="바탕" w:hAnsi="바탕" w:eastAsia="바탕"/>
          <w:b w:val="0"/>
          <w:i w:val="0"/>
          <w:sz w:val="20"/>
        </w:rPr>
        <w:t>이 축에서 같은 r′를 주는 점들은 기울기 λ인 직선을 이룬다. 그래서 독자는 직선을 기울여 보며 '비용이 이만큼일 때 누가 이기는가'를 직접 읽을 수 있다. λ*는 그 직선이 규칙을 지나면서 학습 궤적을 처음으로 완전히 아래에 두는 기울기다.</w:t>
      </w:r>
    </w:p>
    <w:p>
      <w:pPr>
        <w:keepNext/>
        <w:widowControl/>
        <w:spacing w:line="312" w:lineRule="auto" w:before="200" w:after="80"/>
        <w:jc w:val="left"/>
      </w:pPr>
      <w:r>
        <w:rPr>
          <w:rFonts w:ascii="맑은 고딕" w:hAnsi="맑은 고딕" w:eastAsia="맑은 고딕"/>
          <w:b/>
          <w:i w:val="0"/>
          <w:sz w:val="22"/>
        </w:rPr>
        <w:t>6. 세 번째 환경으로 확인한다</w:t>
      </w:r>
    </w:p>
    <w:p>
      <w:pPr>
        <w:widowControl/>
        <w:spacing w:line="480" w:lineRule="auto" w:before="0" w:after="0"/>
        <w:ind w:firstLine="400"/>
        <w:jc w:val="both"/>
      </w:pPr>
      <w:r>
        <w:rPr>
          <w:rFonts w:ascii="바탕" w:hAnsi="바탕" w:eastAsia="바탕"/>
          <w:b w:val="0"/>
          <w:i w:val="0"/>
          <w:sz w:val="20"/>
        </w:rPr>
        <w:t xml:space="preserve">MinAtar/Freeway를 세 번째 환경으로 고른 이유는 </w:t>
      </w:r>
      <w:r>
        <w:rPr>
          <w:rFonts w:ascii="바탕" w:hAnsi="바탕" w:eastAsia="바탕"/>
          <w:b/>
          <w:i w:val="0"/>
          <w:sz w:val="20"/>
        </w:rPr>
        <w:t>규칙 품질</w:t>
      </w:r>
      <w:r>
        <w:rPr>
          <w:rFonts w:ascii="바탕" w:hAnsi="바탕" w:eastAsia="바탕"/>
          <w:b w:val="0"/>
          <w:i w:val="0"/>
          <w:sz w:val="20"/>
        </w:rPr>
        <w:t xml:space="preserve"> 축에서 가운데였기 때문이다 — 손으로 짠 규칙이 쓸 만하지만 최적과는 거리가 있다. 그런데 Ⅲ장 2절에서 </w:t>
      </w:r>
      <w:r>
        <w:rPr>
          <w:rFonts w:ascii="바탕" w:hAnsi="바탕" w:eastAsia="바탕"/>
          <w:b/>
          <w:i w:val="0"/>
          <w:sz w:val="20"/>
        </w:rPr>
        <w:t>보상 조밀도</w:t>
      </w:r>
      <w:r>
        <w:rPr>
          <w:rFonts w:ascii="바탕" w:hAnsi="바탕" w:eastAsia="바탕"/>
          <w:b w:val="0"/>
          <w:i w:val="0"/>
          <w:sz w:val="20"/>
        </w:rPr>
        <w:t xml:space="preserve">를 재고 보니 그 축에서는 가운데가 아니라 MountainCar 쪽 끝에 가까웠다(보상 값 2가지 · 신호 있는 스텝 1.6%, MountainCar는 1가지 · 0.0%, LunarLander는 16,717가지 · 99.8%). </w:t>
      </w:r>
      <w:r>
        <w:rPr>
          <w:rFonts w:ascii="바탕" w:hAnsi="바탕" w:eastAsia="바탕"/>
          <w:b/>
          <w:i w:val="0"/>
          <w:sz w:val="20"/>
        </w:rPr>
        <w:t>두 축이 갈린다는 것이 오히려 좋은 시험이 된다.</w:t>
      </w:r>
      <w:r>
        <w:rPr>
          <w:rFonts w:ascii="바탕" w:hAnsi="바탕" w:eastAsia="바탕"/>
          <w:b w:val="0"/>
          <w:i w:val="0"/>
          <w:sz w:val="20"/>
        </w:rPr>
        <w:t xml:space="preserve"> λ*가 규칙 품질을 따라간다면 여기서 두 환경 사이 값이 나와야 하고, 보상 조밀도를 따라간다면 MountainCar처럼 0에 가까운 값이 나와야 한다. </w:t>
      </w:r>
      <w:r>
        <w:rPr>
          <w:rFonts w:ascii="바탕" w:hAnsi="바탕" w:eastAsia="바탕"/>
          <w:b/>
          <w:i w:val="0"/>
          <w:sz w:val="20"/>
        </w:rPr>
        <w:t>어느 쪽이든 그대로 적는다.</w:t>
      </w:r>
    </w:p>
    <w:p>
      <w:pPr>
        <w:keepNext/>
        <w:widowControl/>
        <w:spacing w:line="312" w:lineRule="auto" w:before="160" w:after="60"/>
        <w:jc w:val="left"/>
      </w:pPr>
      <w:r>
        <w:rPr>
          <w:rFonts w:ascii="맑은 고딕" w:hAnsi="맑은 고딕" w:eastAsia="맑은 고딕"/>
          <w:b/>
          <w:i w:val="0"/>
          <w:sz w:val="20"/>
        </w:rPr>
        <w:t>6.1 MinAtar_Freeway-v1</w:t>
      </w:r>
    </w:p>
    <w:p>
      <w:pPr>
        <w:widowControl/>
        <w:spacing w:line="480" w:lineRule="auto" w:before="0" w:after="0"/>
        <w:ind w:firstLine="400"/>
        <w:jc w:val="both"/>
      </w:pPr>
      <w:r>
        <w:rPr>
          <w:rFonts w:ascii="바탕" w:hAnsi="바탕" w:eastAsia="바탕"/>
          <w:b/>
          <w:i w:val="0"/>
          <w:sz w:val="20"/>
        </w:rPr>
        <w:t>규칙 품질</w:t>
      </w:r>
      <w:r>
        <w:rPr>
          <w:rFonts w:ascii="바탕" w:hAnsi="바탕" w:eastAsia="바탕"/>
          <w:b w:val="0"/>
          <w:i w:val="0"/>
          <w:sz w:val="20"/>
        </w:rPr>
        <w:t xml:space="preserve"> 축에서 앞의 두 환경 사이에 있는 세 번째 경우다. 손으로 짠 신중 규칙이 쓸 만하지만(무행동 0.0점, 매 스텝 주기 9.9점 대비 16.9점) 최적과는 거리가 있어 학습이 이길 여지가 남아 있다. 에피소드가 1000스텝으로 고정돼 행동 비용의 압력이 두 환경보다 뚜렷하다. 조건당 환경 300,000스텝, 학습 계열은 λ 6개(격자 6개 중) · 시드 10개까지 완료된 집계다.</w:t>
      </w:r>
    </w:p>
    <w:p>
      <w:pPr>
        <w:keepNext/>
        <w:widowControl/>
        <w:spacing w:line="276" w:lineRule="auto" w:before="200" w:after="40"/>
        <w:jc w:val="center"/>
      </w:pPr>
      <w:r>
        <w:rPr>
          <w:rFonts w:ascii="맑은 고딕" w:hAnsi="맑은 고딕" w:eastAsia="맑은 고딕"/>
          <w:b/>
          <w:i w:val="0"/>
          <w:sz w:val="19"/>
        </w:rPr>
        <w:t>표 9. MinAtar_Freeway-v1의 비용 반영 총보상 r′ — IQM [95% 신뢰구간]</w:t>
      </w:r>
    </w:p>
    <w:p>
      <w:pPr>
        <w:keepNext/>
        <w:widowControl/>
        <w:spacing w:line="276" w:lineRule="auto" w:before="0" w:after="60"/>
        <w:jc w:val="center"/>
      </w:pPr>
      <w:r>
        <w:rPr>
          <w:rFonts w:ascii="맑은 고딕" w:hAnsi="맑은 고딕" w:eastAsia="맑은 고딕"/>
          <w:b w:val="0"/>
          <w:i/>
          <w:sz w:val="18"/>
        </w:rPr>
        <w:t>Table 9. Cost-adjusted return r′ on MinAtar_Freeway-v1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7.1 [5.8, 8.3]</w:t>
            </w:r>
          </w:p>
        </w:tc>
        <w:tc>
          <w:tcPr>
            <w:tcW w:type="dxa" w:w="1296"/>
          </w:tcPr>
          <w:p>
            <w:pPr>
              <w:keepNext/>
              <w:spacing w:line="240" w:lineRule="auto"/>
              <w:jc w:val="center"/>
            </w:pPr>
            <w:r>
              <w:rPr>
                <w:rFonts w:ascii="바탕" w:hAnsi="바탕" w:eastAsia="바탕"/>
                <w:b w:val="0"/>
                <w:i w:val="0"/>
                <w:sz w:val="18"/>
              </w:rPr>
              <w:t>8.8 [7.5, 9.8]</w:t>
            </w:r>
          </w:p>
        </w:tc>
        <w:tc>
          <w:tcPr>
            <w:tcW w:type="dxa" w:w="1296"/>
          </w:tcPr>
          <w:p>
            <w:pPr>
              <w:keepNext/>
              <w:spacing w:line="240" w:lineRule="auto"/>
              <w:jc w:val="center"/>
            </w:pPr>
            <w:r>
              <w:rPr>
                <w:rFonts w:ascii="바탕" w:hAnsi="바탕" w:eastAsia="바탕"/>
                <w:b w:val="0"/>
                <w:i w:val="0"/>
                <w:sz w:val="18"/>
              </w:rPr>
              <w:t>13.6 [11.9, 14.9]</w:t>
            </w:r>
          </w:p>
        </w:tc>
        <w:tc>
          <w:tcPr>
            <w:tcW w:type="dxa" w:w="1296"/>
          </w:tcPr>
          <w:p>
            <w:pPr>
              <w:keepNext/>
              <w:spacing w:line="240" w:lineRule="auto"/>
              <w:jc w:val="center"/>
            </w:pPr>
            <w:r>
              <w:rPr>
                <w:rFonts w:ascii="바탕" w:hAnsi="바탕" w:eastAsia="바탕"/>
                <w:b w:val="0"/>
                <w:i w:val="0"/>
                <w:sz w:val="18"/>
              </w:rPr>
              <w:t>16.9 [16.5, 17.6]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16.9 [16.5, 17.6]</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2.4 [1.2, 3.6]</w:t>
            </w:r>
          </w:p>
        </w:tc>
        <w:tc>
          <w:tcPr>
            <w:tcW w:type="dxa" w:w="1296"/>
          </w:tcPr>
          <w:p>
            <w:pPr>
              <w:keepNext/>
              <w:spacing w:line="240" w:lineRule="auto"/>
              <w:jc w:val="center"/>
            </w:pPr>
            <w:r>
              <w:rPr>
                <w:rFonts w:ascii="바탕" w:hAnsi="바탕" w:eastAsia="바탕"/>
                <w:b w:val="0"/>
                <w:i w:val="0"/>
                <w:sz w:val="18"/>
              </w:rPr>
              <w:t>2.1 [0.3, 4.1]</w:t>
            </w:r>
          </w:p>
        </w:tc>
        <w:tc>
          <w:tcPr>
            <w:tcW w:type="dxa" w:w="1296"/>
          </w:tcPr>
          <w:p>
            <w:pPr>
              <w:keepNext/>
              <w:spacing w:line="240" w:lineRule="auto"/>
              <w:jc w:val="center"/>
            </w:pPr>
            <w:r>
              <w:rPr>
                <w:rFonts w:ascii="바탕" w:hAnsi="바탕" w:eastAsia="바탕"/>
                <w:b w:val="0"/>
                <w:i w:val="0"/>
                <w:sz w:val="18"/>
              </w:rPr>
              <w:t>12.5 [11.2, 14.0]</w:t>
            </w:r>
          </w:p>
        </w:tc>
        <w:tc>
          <w:tcPr>
            <w:tcW w:type="dxa" w:w="1296"/>
          </w:tcPr>
          <w:p>
            <w:pPr>
              <w:keepNext/>
              <w:spacing w:line="240" w:lineRule="auto"/>
              <w:jc w:val="center"/>
            </w:pPr>
            <w:r>
              <w:rPr>
                <w:rFonts w:ascii="바탕" w:hAnsi="바탕" w:eastAsia="바탕"/>
                <w:b w:val="0"/>
                <w:i w:val="0"/>
                <w:sz w:val="18"/>
              </w:rPr>
              <w:t>15.4 [15.0, 16.1]</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15.4 [15.0, 16.1]</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0.0 [-0.8, 0.2]</w:t>
            </w:r>
          </w:p>
        </w:tc>
        <w:tc>
          <w:tcPr>
            <w:tcW w:type="dxa" w:w="1296"/>
          </w:tcPr>
          <w:p>
            <w:pPr>
              <w:keepNext/>
              <w:spacing w:line="240" w:lineRule="auto"/>
              <w:jc w:val="center"/>
            </w:pPr>
            <w:r>
              <w:rPr>
                <w:rFonts w:ascii="바탕" w:hAnsi="바탕" w:eastAsia="바탕"/>
                <w:b w:val="0"/>
                <w:i w:val="0"/>
                <w:sz w:val="18"/>
              </w:rPr>
              <w:t>0.0 [-0.3, 0.2]</w:t>
            </w:r>
          </w:p>
        </w:tc>
        <w:tc>
          <w:tcPr>
            <w:tcW w:type="dxa" w:w="1296"/>
          </w:tcPr>
          <w:p>
            <w:pPr>
              <w:keepNext/>
              <w:spacing w:line="240" w:lineRule="auto"/>
              <w:jc w:val="center"/>
            </w:pPr>
            <w:r>
              <w:rPr>
                <w:rFonts w:ascii="바탕" w:hAnsi="바탕" w:eastAsia="바탕"/>
                <w:b w:val="0"/>
                <w:i w:val="0"/>
                <w:sz w:val="18"/>
              </w:rPr>
              <w:t>10.7 [9.4, 11.9]</w:t>
            </w:r>
          </w:p>
        </w:tc>
        <w:tc>
          <w:tcPr>
            <w:tcW w:type="dxa" w:w="1296"/>
          </w:tcPr>
          <w:p>
            <w:pPr>
              <w:keepNext/>
              <w:spacing w:line="240" w:lineRule="auto"/>
              <w:jc w:val="center"/>
            </w:pPr>
            <w:r>
              <w:rPr>
                <w:rFonts w:ascii="바탕" w:hAnsi="바탕" w:eastAsia="바탕"/>
                <w:b w:val="0"/>
                <w:i w:val="0"/>
                <w:sz w:val="18"/>
              </w:rPr>
              <w:t>13.9 [13.5, 14.6]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13.9 [13.5, 14.6]</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-0.0 [-0.2, 0.0]</w:t>
            </w:r>
          </w:p>
        </w:tc>
        <w:tc>
          <w:tcPr>
            <w:tcW w:type="dxa" w:w="1296"/>
          </w:tcPr>
          <w:p>
            <w:pPr>
              <w:keepNext/>
              <w:spacing w:line="240" w:lineRule="auto"/>
              <w:jc w:val="center"/>
            </w:pPr>
            <w:r>
              <w:rPr>
                <w:rFonts w:ascii="바탕" w:hAnsi="바탕" w:eastAsia="바탕"/>
                <w:b w:val="0"/>
                <w:i w:val="0"/>
                <w:sz w:val="18"/>
              </w:rPr>
              <w:t>8.4 [6.9, 10.3]</w:t>
            </w:r>
          </w:p>
        </w:tc>
        <w:tc>
          <w:tcPr>
            <w:tcW w:type="dxa" w:w="1296"/>
          </w:tcPr>
          <w:p>
            <w:pPr>
              <w:keepNext/>
              <w:spacing w:line="240" w:lineRule="auto"/>
              <w:jc w:val="center"/>
            </w:pPr>
            <w:r>
              <w:rPr>
                <w:rFonts w:ascii="바탕" w:hAnsi="바탕" w:eastAsia="바탕"/>
                <w:b w:val="0"/>
                <w:i w:val="0"/>
                <w:sz w:val="18"/>
              </w:rPr>
              <w:t>11.0 [10.5, 11.6]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11.0 [10.5, 11.6]</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-0.0 [-0.1, 0.0]</w:t>
            </w:r>
          </w:p>
        </w:tc>
        <w:tc>
          <w:tcPr>
            <w:tcW w:type="dxa" w:w="1296"/>
          </w:tcPr>
          <w:p>
            <w:pPr>
              <w:keepNext/>
              <w:spacing w:line="240" w:lineRule="auto"/>
              <w:jc w:val="center"/>
            </w:pPr>
            <w:r>
              <w:rPr>
                <w:rFonts w:ascii="바탕" w:hAnsi="바탕" w:eastAsia="바탕"/>
                <w:b w:val="0"/>
                <w:i w:val="0"/>
                <w:sz w:val="18"/>
              </w:rPr>
              <w:t>2.2 [1.3, 2.7]</w:t>
            </w:r>
          </w:p>
        </w:tc>
        <w:tc>
          <w:tcPr>
            <w:tcW w:type="dxa" w:w="1296"/>
          </w:tcPr>
          <w:p>
            <w:pPr>
              <w:keepNext/>
              <w:spacing w:line="240" w:lineRule="auto"/>
              <w:jc w:val="center"/>
            </w:pPr>
            <w:r>
              <w:rPr>
                <w:rFonts w:ascii="바탕" w:hAnsi="바탕" w:eastAsia="바탕"/>
                <w:b w:val="0"/>
                <w:i w:val="0"/>
                <w:sz w:val="18"/>
              </w:rPr>
              <w:t>5.0 [4.5, 5.6]</w:t>
            </w:r>
          </w:p>
        </w:tc>
        <w:tc>
          <w:tcPr>
            <w:tcW w:type="dxa" w:w="1296"/>
          </w:tcPr>
          <w:p>
            <w:pPr>
              <w:keepNext/>
              <w:spacing w:line="240" w:lineRule="auto"/>
              <w:jc w:val="center"/>
            </w:pPr>
            <w:r>
              <w:rPr>
                <w:rFonts w:ascii="바탕" w:hAnsi="바탕" w:eastAsia="바탕"/>
                <w:b w:val="0"/>
                <w:i w:val="0"/>
                <w:sz w:val="18"/>
              </w:rPr>
              <w:t>0.0 [0.0, 0.0]</w:t>
            </w:r>
          </w:p>
        </w:tc>
        <w:tc>
          <w:tcPr>
            <w:tcW w:type="dxa" w:w="1296"/>
          </w:tcPr>
          <w:p>
            <w:pPr>
              <w:keepNext/>
              <w:spacing w:line="240" w:lineRule="auto"/>
              <w:jc w:val="center"/>
            </w:pPr>
            <w:r>
              <w:rPr>
                <w:rFonts w:ascii="바탕" w:hAnsi="바탕" w:eastAsia="바탕"/>
                <w:b w:val="0"/>
                <w:i w:val="0"/>
                <w:sz w:val="18"/>
              </w:rPr>
              <w:t>6.6 [6.2, 7.0]</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-0.5 [-1.2, -0.1]</w:t>
            </w:r>
          </w:p>
        </w:tc>
        <w:tc>
          <w:tcPr>
            <w:tcW w:type="dxa" w:w="1296"/>
          </w:tcPr>
          <w:p>
            <w:pPr>
              <w:spacing w:line="240" w:lineRule="auto"/>
              <w:jc w:val="center"/>
            </w:pPr>
            <w:r>
              <w:rPr>
                <w:rFonts w:ascii="바탕" w:hAnsi="바탕" w:eastAsia="바탕"/>
                <w:b w:val="0"/>
                <w:i w:val="0"/>
                <w:sz w:val="18"/>
              </w:rPr>
              <w:t>-1.0 [-1.5, -0.4]</w:t>
            </w:r>
          </w:p>
        </w:tc>
        <w:tc>
          <w:tcPr>
            <w:tcW w:type="dxa" w:w="1296"/>
          </w:tcPr>
          <w:p>
            <w:pPr>
              <w:spacing w:line="240" w:lineRule="auto"/>
              <w:jc w:val="center"/>
            </w:pPr>
            <w:r>
              <w:rPr>
                <w:rFonts w:ascii="바탕" w:hAnsi="바탕" w:eastAsia="바탕"/>
                <w:b w:val="0"/>
                <w:i w:val="0"/>
                <w:sz w:val="18"/>
              </w:rPr>
              <w:t>0.0 [0.0, 0.0]</w:t>
            </w:r>
          </w:p>
        </w:tc>
        <w:tc>
          <w:tcPr>
            <w:tcW w:type="dxa" w:w="1296"/>
          </w:tcPr>
          <w:p>
            <w:pPr>
              <w:spacing w:line="240" w:lineRule="auto"/>
              <w:jc w:val="center"/>
            </w:pPr>
            <w:r>
              <w:rPr>
                <w:rFonts w:ascii="바탕" w:hAnsi="바탕" w:eastAsia="바탕"/>
                <w:b w:val="0"/>
                <w:i w:val="0"/>
                <w:sz w:val="18"/>
              </w:rPr>
              <w:t>2.5 [2.1, 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760000" cy="3440219"/>
            <wp:docPr id="7" name="Picture 7"/>
            <wp:cNvGraphicFramePr>
              <a:graphicFrameLocks noChangeAspect="1"/>
            </wp:cNvGraphicFramePr>
            <a:graphic>
              <a:graphicData uri="http://schemas.openxmlformats.org/drawingml/2006/picture">
                <pic:pic>
                  <pic:nvPicPr>
                    <pic:cNvPr id="0" name="fig_minatar_lambda_map_MinAtar_Freeway-v1.png"/>
                    <pic:cNvPicPr/>
                  </pic:nvPicPr>
                  <pic:blipFill>
                    <a:blip r:embed="rId16"/>
                    <a:stretch>
                      <a:fillRect/>
                    </a:stretch>
                  </pic:blipFill>
                  <pic:spPr>
                    <a:xfrm>
                      <a:off x="0" y="0"/>
                      <a:ext cx="5760000" cy="3440219"/>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7. λ-성능 지도 — MinAtar Freeway (규칙 품질은 가운데, 보상은 희소한 환경)</w:t>
      </w:r>
    </w:p>
    <w:p>
      <w:pPr>
        <w:widowControl/>
        <w:spacing w:line="276" w:lineRule="auto" w:before="0" w:after="80"/>
        <w:jc w:val="center"/>
      </w:pPr>
      <w:r>
        <w:rPr>
          <w:rFonts w:ascii="맑은 고딕" w:hAnsi="맑은 고딕" w:eastAsia="맑은 고딕"/>
          <w:b w:val="0"/>
          <w:i/>
          <w:sz w:val="18"/>
        </w:rPr>
        <w:t>Fig. 7. Performance map over action cost λ on MinAtar_Freeway-v1</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4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신중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TempoRL은 비용이 아예 없는 λ=0에서 신중 규칙에 졌다. 비용 때문이 아니라 학습된 정책 자체가 규칙보다 약하다는 뜻이다.</w:t>
      </w:r>
    </w:p>
    <w:p>
      <w:pPr>
        <w:widowControl/>
        <w:spacing w:line="480" w:lineRule="auto" w:before="0" w:after="0"/>
        <w:ind w:firstLine="4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826.7회(λ=0) → 0.0회(λ=0.06), 100% 감소</w:t>
      </w:r>
    </w:p>
    <w:p>
      <w:pPr>
        <w:spacing w:line="480" w:lineRule="auto" w:before="0" w:after="0"/>
        <w:ind w:left="340" w:hanging="198"/>
      </w:pPr>
      <w:r>
        <w:rPr>
          <w:rFonts w:ascii="바탕" w:hAnsi="바탕" w:eastAsia="바탕"/>
          <w:b w:val="0"/>
          <w:i w:val="0"/>
          <w:sz w:val="20"/>
        </w:rPr>
        <w:t>· TempoRL 898.1회(λ=0) → 0.0회(λ=0.06), 100% 감소</w:t>
      </w:r>
    </w:p>
    <w:p>
      <w:pPr>
        <w:spacing w:line="480" w:lineRule="auto" w:before="0" w:after="0"/>
        <w:ind w:left="340" w:hanging="198"/>
      </w:pPr>
      <w:r>
        <w:rPr>
          <w:rFonts w:ascii="바탕" w:hAnsi="바탕" w:eastAsia="바탕"/>
          <w:b w:val="0"/>
          <w:i w:val="0"/>
          <w:sz w:val="20"/>
        </w:rPr>
        <w:t>· Lazy-MDP 446.9회(λ=0) → 103.7회(λ=0.06), 77% 감소</w:t>
      </w:r>
    </w:p>
    <w:p>
      <w:pPr>
        <w:keepNext/>
        <w:widowControl/>
        <w:spacing w:line="276" w:lineRule="auto" w:before="200" w:after="40"/>
        <w:jc w:val="center"/>
      </w:pPr>
      <w:r>
        <w:rPr>
          <w:rFonts w:ascii="맑은 고딕" w:hAnsi="맑은 고딕" w:eastAsia="맑은 고딕"/>
          <w:b/>
          <w:i w:val="0"/>
          <w:sz w:val="19"/>
        </w:rPr>
        <w:t>표 10. MinAtar_Freeway-v1의 에피소드당 행동 횟수 (IQM)</w:t>
      </w:r>
    </w:p>
    <w:p>
      <w:pPr>
        <w:keepNext/>
        <w:widowControl/>
        <w:spacing w:line="276" w:lineRule="auto" w:before="0" w:after="60"/>
        <w:jc w:val="center"/>
      </w:pPr>
      <w:r>
        <w:rPr>
          <w:rFonts w:ascii="맑은 고딕" w:hAnsi="맑은 고딕" w:eastAsia="맑은 고딕"/>
          <w:b w:val="0"/>
          <w:i/>
          <w:sz w:val="18"/>
        </w:rPr>
        <w:t>Table 10. Actions per episode on MinAtar_Freeway-v1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keepNext/>
              <w:spacing w:line="240" w:lineRule="auto"/>
              <w:jc w:val="center"/>
            </w:pPr>
            <w:r/>
            <w:r>
              <w:rPr>
                <w:rFonts w:ascii="맑은 고딕" w:hAnsi="맑은 고딕" w:eastAsia="맑은 고딕"/>
                <w:b/>
                <w:i w:val="0"/>
                <w:sz w:val="18"/>
              </w:rPr>
              <w:t>λ</w:t>
            </w:r>
          </w:p>
        </w:tc>
        <w:tc>
          <w:tcPr>
            <w:tcW w:type="dxa" w:w="1296"/>
            <w:shd w:val="clear" w:color="auto" w:fill="EDEDED"/>
          </w:tcPr>
          <w:p>
            <w:pPr>
              <w:keepNext/>
              <w:spacing w:line="240" w:lineRule="auto"/>
              <w:jc w:val="center"/>
            </w:pPr>
            <w:r/>
            <w:r>
              <w:rPr>
                <w:rFonts w:ascii="맑은 고딕" w:hAnsi="맑은 고딕" w:eastAsia="맑은 고딕"/>
                <w:b/>
                <w:i w:val="0"/>
                <w:sz w:val="18"/>
              </w:rPr>
              <w:t>표준 DQN</w:t>
            </w:r>
          </w:p>
        </w:tc>
        <w:tc>
          <w:tcPr>
            <w:tcW w:type="dxa" w:w="1296"/>
            <w:shd w:val="clear" w:color="auto" w:fill="EDEDED"/>
          </w:tcPr>
          <w:p>
            <w:pPr>
              <w:keepNext/>
              <w:spacing w:line="240" w:lineRule="auto"/>
              <w:jc w:val="center"/>
            </w:pPr>
            <w:r/>
            <w:r>
              <w:rPr>
                <w:rFonts w:ascii="맑은 고딕" w:hAnsi="맑은 고딕" w:eastAsia="맑은 고딕"/>
                <w:b/>
                <w:i w:val="0"/>
                <w:sz w:val="18"/>
              </w:rPr>
              <w:t>TempoRL</w:t>
            </w:r>
          </w:p>
        </w:tc>
        <w:tc>
          <w:tcPr>
            <w:tcW w:type="dxa" w:w="1296"/>
            <w:shd w:val="clear" w:color="auto" w:fill="EDEDED"/>
          </w:tcPr>
          <w:p>
            <w:pPr>
              <w:keepNext/>
              <w:spacing w:line="240" w:lineRule="auto"/>
              <w:jc w:val="center"/>
            </w:pPr>
            <w:r/>
            <w:r>
              <w:rPr>
                <w:rFonts w:ascii="맑은 고딕" w:hAnsi="맑은 고딕" w:eastAsia="맑은 고딕"/>
                <w:b/>
                <w:i w:val="0"/>
                <w:sz w:val="18"/>
              </w:rPr>
              <w:t>Lazy-MDP</w:t>
            </w:r>
          </w:p>
        </w:tc>
        <w:tc>
          <w:tcPr>
            <w:tcW w:type="dxa" w:w="1296"/>
            <w:shd w:val="clear" w:color="auto" w:fill="EDEDED"/>
          </w:tcPr>
          <w:p>
            <w:pPr>
              <w:keepNext/>
              <w:spacing w:line="240" w:lineRule="auto"/>
              <w:jc w:val="center"/>
            </w:pPr>
            <w:r/>
            <w:r>
              <w:rPr>
                <w:rFonts w:ascii="맑은 고딕" w:hAnsi="맑은 고딕" w:eastAsia="맑은 고딕"/>
                <w:b/>
                <w:i w:val="0"/>
                <w:sz w:val="18"/>
              </w:rPr>
              <w:t>신중 규칙</w:t>
            </w:r>
          </w:p>
        </w:tc>
        <w:tc>
          <w:tcPr>
            <w:tcW w:type="dxa" w:w="1296"/>
            <w:shd w:val="clear" w:color="auto" w:fill="EDEDED"/>
          </w:tcPr>
          <w:p>
            <w:pPr>
              <w:keepNext/>
              <w:spacing w:line="240" w:lineRule="auto"/>
              <w:jc w:val="center"/>
            </w:pPr>
            <w:r/>
            <w:r>
              <w:rPr>
                <w:rFonts w:ascii="맑은 고딕" w:hAnsi="맑은 고딕" w:eastAsia="맑은 고딕"/>
                <w:b/>
                <w:i w:val="0"/>
                <w:sz w:val="18"/>
              </w:rPr>
              <w:t>무행동</w:t>
            </w:r>
          </w:p>
        </w:tc>
        <w:tc>
          <w:tcPr>
            <w:tcW w:type="dxa" w:w="1296"/>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296"/>
          </w:tcPr>
          <w:p>
            <w:pPr>
              <w:keepNext/>
              <w:spacing w:line="240" w:lineRule="auto"/>
              <w:jc w:val="left"/>
            </w:pPr>
            <w:r>
              <w:rPr>
                <w:rFonts w:ascii="바탕" w:hAnsi="바탕" w:eastAsia="바탕"/>
                <w:b/>
                <w:i w:val="0"/>
                <w:sz w:val="18"/>
              </w:rPr>
              <w:t>0</w:t>
            </w:r>
          </w:p>
        </w:tc>
        <w:tc>
          <w:tcPr>
            <w:tcW w:type="dxa" w:w="1296"/>
          </w:tcPr>
          <w:p>
            <w:pPr>
              <w:keepNext/>
              <w:spacing w:line="240" w:lineRule="auto"/>
              <w:jc w:val="center"/>
            </w:pPr>
            <w:r>
              <w:rPr>
                <w:rFonts w:ascii="바탕" w:hAnsi="바탕" w:eastAsia="바탕"/>
                <w:b w:val="0"/>
                <w:i w:val="0"/>
                <w:sz w:val="18"/>
              </w:rPr>
              <w:t>827</w:t>
            </w:r>
          </w:p>
        </w:tc>
        <w:tc>
          <w:tcPr>
            <w:tcW w:type="dxa" w:w="1296"/>
          </w:tcPr>
          <w:p>
            <w:pPr>
              <w:keepNext/>
              <w:spacing w:line="240" w:lineRule="auto"/>
              <w:jc w:val="center"/>
            </w:pPr>
            <w:r>
              <w:rPr>
                <w:rFonts w:ascii="바탕" w:hAnsi="바탕" w:eastAsia="바탕"/>
                <w:b w:val="0"/>
                <w:i w:val="0"/>
                <w:sz w:val="18"/>
              </w:rPr>
              <w:t>898</w:t>
            </w:r>
          </w:p>
        </w:tc>
        <w:tc>
          <w:tcPr>
            <w:tcW w:type="dxa" w:w="1296"/>
          </w:tcPr>
          <w:p>
            <w:pPr>
              <w:keepNext/>
              <w:spacing w:line="240" w:lineRule="auto"/>
              <w:jc w:val="center"/>
            </w:pPr>
            <w:r>
              <w:rPr>
                <w:rFonts w:ascii="바탕" w:hAnsi="바탕" w:eastAsia="바탕"/>
                <w:b w:val="0"/>
                <w:i w:val="0"/>
                <w:sz w:val="18"/>
              </w:rPr>
              <w:t>447</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0.005</w:t>
            </w:r>
          </w:p>
        </w:tc>
        <w:tc>
          <w:tcPr>
            <w:tcW w:type="dxa" w:w="1296"/>
          </w:tcPr>
          <w:p>
            <w:pPr>
              <w:keepNext/>
              <w:spacing w:line="240" w:lineRule="auto"/>
              <w:jc w:val="center"/>
            </w:pPr>
            <w:r>
              <w:rPr>
                <w:rFonts w:ascii="바탕" w:hAnsi="바탕" w:eastAsia="바탕"/>
                <w:b w:val="0"/>
                <w:i w:val="0"/>
                <w:sz w:val="18"/>
              </w:rPr>
              <w:t>639</w:t>
            </w:r>
          </w:p>
        </w:tc>
        <w:tc>
          <w:tcPr>
            <w:tcW w:type="dxa" w:w="1296"/>
          </w:tcPr>
          <w:p>
            <w:pPr>
              <w:keepNext/>
              <w:spacing w:line="240" w:lineRule="auto"/>
              <w:jc w:val="center"/>
            </w:pPr>
            <w:r>
              <w:rPr>
                <w:rFonts w:ascii="바탕" w:hAnsi="바탕" w:eastAsia="바탕"/>
                <w:b w:val="0"/>
                <w:i w:val="0"/>
                <w:sz w:val="18"/>
              </w:rPr>
              <w:t>429</w:t>
            </w:r>
          </w:p>
        </w:tc>
        <w:tc>
          <w:tcPr>
            <w:tcW w:type="dxa" w:w="1296"/>
          </w:tcPr>
          <w:p>
            <w:pPr>
              <w:keepNext/>
              <w:spacing w:line="240" w:lineRule="auto"/>
              <w:jc w:val="center"/>
            </w:pPr>
            <w:r>
              <w:rPr>
                <w:rFonts w:ascii="바탕" w:hAnsi="바탕" w:eastAsia="바탕"/>
                <w:b w:val="0"/>
                <w:i w:val="0"/>
                <w:sz w:val="18"/>
              </w:rPr>
              <w:t>386</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0.01</w:t>
            </w:r>
          </w:p>
        </w:tc>
        <w:tc>
          <w:tcPr>
            <w:tcW w:type="dxa" w:w="1296"/>
          </w:tcPr>
          <w:p>
            <w:pPr>
              <w:keepNext/>
              <w:spacing w:line="240" w:lineRule="auto"/>
              <w:jc w:val="center"/>
            </w:pPr>
            <w:r>
              <w:rPr>
                <w:rFonts w:ascii="바탕" w:hAnsi="바탕" w:eastAsia="바탕"/>
                <w:b w:val="0"/>
                <w:i w:val="0"/>
                <w:sz w:val="18"/>
              </w:rPr>
              <w:t>63</w:t>
            </w:r>
          </w:p>
        </w:tc>
        <w:tc>
          <w:tcPr>
            <w:tcW w:type="dxa" w:w="1296"/>
          </w:tcPr>
          <w:p>
            <w:pPr>
              <w:keepNext/>
              <w:spacing w:line="240" w:lineRule="auto"/>
              <w:jc w:val="center"/>
            </w:pPr>
            <w:r>
              <w:rPr>
                <w:rFonts w:ascii="바탕" w:hAnsi="바탕" w:eastAsia="바탕"/>
                <w:b w:val="0"/>
                <w:i w:val="0"/>
                <w:sz w:val="18"/>
              </w:rPr>
              <w:t>247</w:t>
            </w:r>
          </w:p>
        </w:tc>
        <w:tc>
          <w:tcPr>
            <w:tcW w:type="dxa" w:w="1296"/>
          </w:tcPr>
          <w:p>
            <w:pPr>
              <w:keepNext/>
              <w:spacing w:line="240" w:lineRule="auto"/>
              <w:jc w:val="center"/>
            </w:pPr>
            <w:r>
              <w:rPr>
                <w:rFonts w:ascii="바탕" w:hAnsi="바탕" w:eastAsia="바탕"/>
                <w:b w:val="0"/>
                <w:i w:val="0"/>
                <w:sz w:val="18"/>
              </w:rPr>
              <w:t>345</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0.02</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w:t>
            </w:r>
          </w:p>
        </w:tc>
        <w:tc>
          <w:tcPr>
            <w:tcW w:type="dxa" w:w="1296"/>
          </w:tcPr>
          <w:p>
            <w:pPr>
              <w:keepNext/>
              <w:spacing w:line="240" w:lineRule="auto"/>
              <w:jc w:val="center"/>
            </w:pPr>
            <w:r>
              <w:rPr>
                <w:rFonts w:ascii="바탕" w:hAnsi="바탕" w:eastAsia="바탕"/>
                <w:b w:val="0"/>
                <w:i w:val="0"/>
                <w:sz w:val="18"/>
              </w:rPr>
              <w:t>308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299</w:t>
            </w:r>
          </w:p>
        </w:tc>
      </w:tr>
      <w:tr>
        <w:trPr>
          <w:cantSplit/>
        </w:trPr>
        <w:tc>
          <w:tcPr>
            <w:tcW w:type="dxa" w:w="1296"/>
          </w:tcPr>
          <w:p>
            <w:pPr>
              <w:keepNext/>
              <w:spacing w:line="240" w:lineRule="auto"/>
              <w:jc w:val="left"/>
            </w:pPr>
            <w:r>
              <w:rPr>
                <w:rFonts w:ascii="바탕" w:hAnsi="바탕" w:eastAsia="바탕"/>
                <w:b/>
                <w:i w:val="0"/>
                <w:sz w:val="18"/>
              </w:rPr>
              <w:t>0.04</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268</w:t>
            </w:r>
          </w:p>
        </w:tc>
        <w:tc>
          <w:tcPr>
            <w:tcW w:type="dxa" w:w="1296"/>
          </w:tcPr>
          <w:p>
            <w:pPr>
              <w:keepNext/>
              <w:spacing w:line="240" w:lineRule="auto"/>
              <w:jc w:val="center"/>
            </w:pPr>
            <w:r>
              <w:rPr>
                <w:rFonts w:ascii="바탕" w:hAnsi="바탕" w:eastAsia="바탕"/>
                <w:b w:val="0"/>
                <w:i w:val="0"/>
                <w:sz w:val="18"/>
              </w:rPr>
              <w:t>299</w:t>
            </w:r>
          </w:p>
        </w:tc>
        <w:tc>
          <w:tcPr>
            <w:tcW w:type="dxa" w:w="1296"/>
          </w:tcPr>
          <w:p>
            <w:pPr>
              <w:keepNext/>
              <w:spacing w:line="240" w:lineRule="auto"/>
              <w:jc w:val="center"/>
            </w:pPr>
            <w:r>
              <w:rPr>
                <w:rFonts w:ascii="바탕" w:hAnsi="바탕" w:eastAsia="바탕"/>
                <w:b w:val="0"/>
                <w:i w:val="0"/>
                <w:sz w:val="18"/>
              </w:rPr>
              <w:t>0</w:t>
            </w:r>
          </w:p>
        </w:tc>
        <w:tc>
          <w:tcPr>
            <w:tcW w:type="dxa" w:w="1296"/>
          </w:tcPr>
          <w:p>
            <w:pPr>
              <w:keepNext/>
              <w:spacing w:line="240" w:lineRule="auto"/>
              <w:jc w:val="center"/>
            </w:pPr>
            <w:r>
              <w:rPr>
                <w:rFonts w:ascii="바탕" w:hAnsi="바탕" w:eastAsia="바탕"/>
                <w:b w:val="0"/>
                <w:i w:val="0"/>
                <w:sz w:val="18"/>
              </w:rPr>
              <w:t>204</w:t>
            </w:r>
          </w:p>
        </w:tc>
      </w:tr>
      <w:tr>
        <w:trPr>
          <w:cantSplit/>
        </w:trPr>
        <w:tc>
          <w:tcPr>
            <w:tcW w:type="dxa" w:w="1296"/>
          </w:tcPr>
          <w:p>
            <w:pPr>
              <w:spacing w:line="240" w:lineRule="auto"/>
              <w:jc w:val="left"/>
            </w:pPr>
            <w:r>
              <w:rPr>
                <w:rFonts w:ascii="바탕" w:hAnsi="바탕" w:eastAsia="바탕"/>
                <w:b/>
                <w:i w:val="0"/>
                <w:sz w:val="18"/>
              </w:rPr>
              <w:t>0.06</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104</w:t>
            </w:r>
          </w:p>
        </w:tc>
        <w:tc>
          <w:tcPr>
            <w:tcW w:type="dxa" w:w="1296"/>
          </w:tcPr>
          <w:p>
            <w:pPr>
              <w:spacing w:line="240" w:lineRule="auto"/>
              <w:jc w:val="center"/>
            </w:pPr>
            <w:r>
              <w:rPr>
                <w:rFonts w:ascii="바탕" w:hAnsi="바탕" w:eastAsia="바탕"/>
                <w:b w:val="0"/>
                <w:i w:val="0"/>
                <w:sz w:val="18"/>
              </w:rPr>
              <w:t>299</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204</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i w:val="0"/>
          <w:sz w:val="20"/>
        </w:rPr>
        <w:t>이 절을 둔 이유는 두 축을 가르기 위해서였다. 답은 이렇다.</w:t>
      </w:r>
    </w:p>
    <w:p>
      <w:pPr>
        <w:widowControl/>
        <w:spacing w:line="480" w:lineRule="auto" w:before="0" w:after="0"/>
        <w:ind w:firstLine="400"/>
        <w:jc w:val="both"/>
      </w:pPr>
      <w:r>
        <w:rPr>
          <w:rFonts w:ascii="바탕" w:hAnsi="바탕" w:eastAsia="바탕"/>
          <w:b w:val="0"/>
          <w:i w:val="0"/>
          <w:sz w:val="20"/>
        </w:rPr>
        <w:t xml:space="preserve">MinAtar에서 λ*는 세 계열 모두 </w:t>
      </w:r>
      <w:r>
        <w:rPr>
          <w:rFonts w:ascii="바탕" w:hAnsi="바탕" w:eastAsia="바탕"/>
          <w:b/>
          <w:i w:val="0"/>
          <w:sz w:val="20"/>
        </w:rPr>
        <w:t>0</w:t>
      </w:r>
      <w:r>
        <w:rPr>
          <w:rFonts w:ascii="바탕" w:hAnsi="바탕" w:eastAsia="바탕"/>
          <w:b w:val="0"/>
          <w:i w:val="0"/>
          <w:sz w:val="20"/>
        </w:rPr>
        <w:t xml:space="preserve">이다 — 두 환경 사이가 아니라 MountainCar와 </w:t>
      </w:r>
      <w:r>
        <w:rPr>
          <w:rFonts w:ascii="바탕" w:hAnsi="바탕" w:eastAsia="바탕"/>
          <w:b/>
          <w:i w:val="0"/>
          <w:sz w:val="20"/>
        </w:rPr>
        <w:t>같은 값</w:t>
      </w:r>
      <w:r>
        <w:rPr>
          <w:rFonts w:ascii="바탕" w:hAnsi="바탕" w:eastAsia="바탕"/>
          <w:b w:val="0"/>
          <w:i w:val="0"/>
          <w:sz w:val="20"/>
        </w:rPr>
        <w:t>이다. 이 환경은 규칙 품질 축에서 가운데였으므로, λ*가 규칙 품질을 따라간다면 사이 값이 나왔어야 한다. 그러지 않았다.</w:t>
      </w:r>
    </w:p>
    <w:p>
      <w:pPr>
        <w:widowControl/>
        <w:spacing w:line="480" w:lineRule="auto" w:before="0" w:after="0"/>
        <w:ind w:firstLine="400"/>
        <w:jc w:val="both"/>
      </w:pPr>
      <w:r>
        <w:rPr>
          <w:rFonts w:ascii="바탕" w:hAnsi="바탕" w:eastAsia="바탕"/>
          <w:b w:val="0"/>
          <w:i w:val="0"/>
          <w:sz w:val="20"/>
        </w:rPr>
        <w:t xml:space="preserve">대신 λ*는 </w:t>
      </w:r>
      <w:r>
        <w:rPr>
          <w:rFonts w:ascii="바탕" w:hAnsi="바탕" w:eastAsia="바탕"/>
          <w:b/>
          <w:i w:val="0"/>
          <w:sz w:val="20"/>
        </w:rPr>
        <w:t>보상 조밀도</w:t>
      </w:r>
      <w:r>
        <w:rPr>
          <w:rFonts w:ascii="바탕" w:hAnsi="바탕" w:eastAsia="바탕"/>
          <w:b w:val="0"/>
          <w:i w:val="0"/>
          <w:sz w:val="20"/>
        </w:rPr>
        <w:t xml:space="preserve">를 따라간다. 신호가 있는 스텝의 비율은 MountainCar 0.0% · MinAtar 1.6% · LunarLander 99.8% 로(Ⅲ장 2절), MinAtar는 이 축에서 가운데가 아니라 MountainCar 쪽 끝에 있다. </w:t>
      </w:r>
      <w:r>
        <w:rPr>
          <w:rFonts w:ascii="바탕" w:hAnsi="바탕" w:eastAsia="바탕"/>
          <w:b/>
          <w:i w:val="0"/>
          <w:sz w:val="20"/>
        </w:rPr>
        <w:t>λ*도 그 자리를 따라갔다.</w:t>
      </w:r>
    </w:p>
    <w:p>
      <w:pPr>
        <w:widowControl/>
        <w:spacing w:line="480" w:lineRule="auto" w:before="0" w:after="0"/>
        <w:ind w:firstLine="400"/>
        <w:jc w:val="both"/>
      </w:pPr>
      <w:r>
        <w:rPr>
          <w:rFonts w:ascii="바탕" w:hAnsi="바탕" w:eastAsia="바탕"/>
          <w:b w:val="0"/>
          <w:i w:val="0"/>
          <w:sz w:val="20"/>
        </w:rPr>
        <w:t xml:space="preserve">즉 </w:t>
      </w:r>
      <w:r>
        <w:rPr>
          <w:rFonts w:ascii="바탕" w:hAnsi="바탕" w:eastAsia="바탕"/>
          <w:b/>
          <w:i w:val="0"/>
          <w:sz w:val="20"/>
        </w:rPr>
        <w:t>'좋은 규칙이 이미 있으면 학습이 불리하다'가 아니라 '보상이 상태를 구분해 주지 못하면 학습이 불리하다'</w:t>
      </w:r>
      <w:r>
        <w:rPr>
          <w:rFonts w:ascii="바탕" w:hAnsi="바탕" w:eastAsia="바탕"/>
          <w:b w:val="0"/>
          <w:i w:val="0"/>
          <w:sz w:val="20"/>
        </w:rPr>
        <w:t>가 이 연구가 관찰한 것이다. 다만 환경이 셋뿐이므로 이것은 세 점이 한 방향을 가리킨다는 뜻이지 상관을 보인 것은 아니다.</w:t>
      </w:r>
    </w:p>
    <w:p>
      <w:pPr>
        <w:keepNext/>
        <w:widowControl/>
        <w:spacing w:line="312" w:lineRule="auto" w:before="200" w:after="80"/>
        <w:jc w:val="left"/>
      </w:pPr>
      <w:r>
        <w:rPr>
          <w:rFonts w:ascii="맑은 고딕" w:hAnsi="맑은 고딕" w:eastAsia="맑은 고딕"/>
          <w:b/>
          <w:i w:val="0"/>
          <w:sz w:val="22"/>
        </w:rPr>
        <w:t>7. 공정성 점검 — 비용이 없을 때 학습은 규칙 수준에 닿는가</w:t>
      </w:r>
    </w:p>
    <w:p>
      <w:pPr>
        <w:widowControl/>
        <w:spacing w:line="480" w:lineRule="auto" w:before="0" w:after="0"/>
        <w:ind w:firstLine="4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11.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11.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rPr>
          <w:cantSplit/>
        </w:trP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rPr>
          <w:cantSplit/>
        </w:trP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148.0</w:t>
            </w:r>
          </w:p>
        </w:tc>
        <w:tc>
          <w:tcPr>
            <w:tcW w:type="dxa" w:w="1361"/>
          </w:tcPr>
          <w:p>
            <w:pPr>
              <w:spacing w:line="240" w:lineRule="auto"/>
              <w:jc w:val="center"/>
            </w:pPr>
            <w:r>
              <w:rPr>
                <w:rFonts w:ascii="바탕" w:hAnsi="바탕" w:eastAsia="바탕"/>
                <w:b w:val="0"/>
                <w:i w:val="0"/>
                <w:sz w:val="18"/>
              </w:rPr>
              <w:t>[77.9, 186.9]</w:t>
            </w:r>
          </w:p>
        </w:tc>
        <w:tc>
          <w:tcPr>
            <w:tcW w:type="dxa" w:w="794"/>
          </w:tcPr>
          <w:p>
            <w:pPr>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r>
        <w:trPr>
          <w:cantSplit/>
        </w:trPr>
        <w:tc>
          <w:tcPr>
            <w:tcW w:type="dxa" w:w="1474"/>
          </w:tcPr>
          <w:p>
            <w:pPr>
              <w:spacing w:line="240" w:lineRule="auto"/>
              <w:jc w:val="left"/>
            </w:pPr>
            <w:r>
              <w:rPr>
                <w:rFonts w:ascii="바탕" w:hAnsi="바탕" w:eastAsia="바탕"/>
                <w:b w:val="0"/>
                <w:i w:val="0"/>
                <w:sz w:val="18"/>
              </w:rPr>
              <w:t>MinAtar_Freeway-v1</w:t>
            </w:r>
          </w:p>
        </w:tc>
        <w:tc>
          <w:tcPr>
            <w:tcW w:type="dxa" w:w="2494"/>
          </w:tcPr>
          <w:p>
            <w:pPr>
              <w:spacing w:line="240" w:lineRule="auto"/>
              <w:jc w:val="center"/>
            </w:pPr>
            <w:r>
              <w:rPr>
                <w:rFonts w:ascii="바탕" w:hAnsi="바탕" w:eastAsia="바탕"/>
                <w:b w:val="0"/>
                <w:i w:val="0"/>
                <w:sz w:val="18"/>
              </w:rPr>
              <w:t>본실험 (30만 스텝)</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7.1</w:t>
            </w:r>
          </w:p>
        </w:tc>
        <w:tc>
          <w:tcPr>
            <w:tcW w:type="dxa" w:w="1361"/>
          </w:tcPr>
          <w:p>
            <w:pPr>
              <w:spacing w:line="240" w:lineRule="auto"/>
              <w:jc w:val="center"/>
            </w:pPr>
            <w:r>
              <w:rPr>
                <w:rFonts w:ascii="바탕" w:hAnsi="바탕" w:eastAsia="바탕"/>
                <w:b w:val="0"/>
                <w:i w:val="0"/>
                <w:sz w:val="18"/>
              </w:rPr>
              <w:t>[5.8, 8.3]</w:t>
            </w:r>
          </w:p>
        </w:tc>
        <w:tc>
          <w:tcPr>
            <w:tcW w:type="dxa" w:w="794"/>
          </w:tcPr>
          <w:p>
            <w:pPr>
              <w:spacing w:line="240" w:lineRule="auto"/>
              <w:jc w:val="center"/>
            </w:pPr>
            <w:r>
              <w:rPr>
                <w:rFonts w:ascii="바탕" w:hAnsi="바탕" w:eastAsia="바탕"/>
                <w:b w:val="0"/>
                <w:i w:val="0"/>
                <w:sz w:val="18"/>
              </w:rPr>
              <w:t>0%</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신중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16.9</w:t>
            </w:r>
          </w:p>
        </w:tc>
        <w:tc>
          <w:tcPr>
            <w:tcW w:type="dxa" w:w="1361"/>
          </w:tcPr>
          <w:p>
            <w:pPr>
              <w:spacing w:line="240" w:lineRule="auto"/>
              <w:jc w:val="center"/>
            </w:pPr>
            <w:r>
              <w:rPr>
                <w:rFonts w:ascii="바탕" w:hAnsi="바탕" w:eastAsia="바탕"/>
                <w:b w:val="0"/>
                <w:i w:val="0"/>
                <w:sz w:val="18"/>
              </w:rPr>
              <w:t>[16.5, 17.6]</w:t>
            </w:r>
          </w:p>
        </w:tc>
        <w:tc>
          <w:tcPr>
            <w:tcW w:type="dxa" w:w="794"/>
          </w:tcPr>
          <w:p>
            <w:pPr>
              <w:spacing w:line="240" w:lineRule="auto"/>
              <w:jc w:val="center"/>
            </w:pPr>
            <w:r>
              <w:rPr>
                <w:rFonts w:ascii="바탕" w:hAnsi="바탕" w:eastAsia="바탕"/>
                <w:b/>
                <w:i w:val="0"/>
                <w:sz w:val="18"/>
              </w:rPr>
              <w:t>0%</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4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8은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760000" cy="3185096"/>
            <wp:docPr id="8" name="Picture 8"/>
            <wp:cNvGraphicFramePr>
              <a:graphicFrameLocks noChangeAspect="1"/>
            </wp:cNvGraphicFramePr>
            <a:graphic>
              <a:graphicData uri="http://schemas.openxmlformats.org/drawingml/2006/picture">
                <pic:pic>
                  <pic:nvPicPr>
                    <pic:cNvPr id="0" name="fig_fair_fairness_curves_MountainCar-v0.png"/>
                    <pic:cNvPicPr/>
                  </pic:nvPicPr>
                  <pic:blipFill>
                    <a:blip r:embed="rId17"/>
                    <a:stretch>
                      <a:fillRect/>
                    </a:stretch>
                  </pic:blipFill>
                  <pic:spPr>
                    <a:xfrm>
                      <a:off x="0" y="0"/>
                      <a:ext cx="5760000" cy="3185096"/>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8.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8.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widowControl/>
        <w:spacing w:line="480" w:lineRule="auto" w:before="0" w:after="0"/>
        <w:ind w:firstLine="400"/>
        <w:jc w:val="both"/>
      </w:pPr>
      <w:r>
        <w:rPr>
          <w:rFonts w:ascii="바탕" w:hAnsi="바탕" w:eastAsia="바탕"/>
          <w:b/>
          <w:i w:val="0"/>
          <w:sz w:val="20"/>
        </w:rPr>
        <w:t>예산을 늘리면 나아지리라는 기대는 빗나갔다.</w:t>
      </w:r>
    </w:p>
    <w:p>
      <w:pPr>
        <w:widowControl/>
        <w:spacing w:line="480" w:lineRule="auto" w:before="0" w:after="0"/>
        <w:ind w:firstLine="400"/>
        <w:jc w:val="both"/>
      </w:pPr>
      <w:r>
        <w:rPr>
          <w:rFonts w:ascii="바탕" w:hAnsi="바탕" w:eastAsia="바탕"/>
          <w:b/>
          <w:i w:val="0"/>
          <w:sz w:val="20"/>
        </w:rPr>
        <w:t>LunarLander-v3</w:t>
      </w:r>
      <w:r>
        <w:rPr>
          <w:rFonts w:ascii="바탕" w:hAnsi="바탕" w:eastAsia="바탕"/>
          <w:b w:val="0"/>
          <w:i w:val="0"/>
          <w:sz w:val="20"/>
        </w:rPr>
        <w:t xml:space="preserve">에서 예산을 5배로 늘리자(20만 → 100만 스텝) </w:t>
      </w:r>
      <w:r>
        <w:rPr>
          <w:rFonts w:ascii="바탕" w:hAnsi="바탕" w:eastAsia="바탕"/>
          <w:b/>
          <w:i w:val="0"/>
          <w:sz w:val="20"/>
        </w:rPr>
        <w:t>세 계열 모두 점수가 떨어졌다</w:t>
      </w:r>
      <w:r>
        <w:rPr>
          <w:rFonts w:ascii="바탕" w:hAnsi="바탕" w:eastAsia="바탕"/>
          <w:b w:val="0"/>
          <w:i w:val="0"/>
          <w:sz w:val="20"/>
        </w:rPr>
        <w:t>: 표준 DQN 189→148(구간 폭 45→109) · TempoRL 159→4(구간 폭 51→263) · Lazy-MDP 210→169(구간 폭 55→148).</w:t>
      </w:r>
    </w:p>
    <w:p>
      <w:pPr>
        <w:widowControl/>
        <w:spacing w:line="480" w:lineRule="auto" w:before="0" w:after="0"/>
        <w:ind w:firstLine="400"/>
        <w:jc w:val="both"/>
      </w:pPr>
      <w:r>
        <w:rPr>
          <w:rFonts w:ascii="바탕" w:hAnsi="바탕" w:eastAsia="바탕"/>
          <w:b w:val="0"/>
          <w:i w:val="0"/>
          <w:sz w:val="20"/>
        </w:rPr>
        <w:t xml:space="preserve">구간 폭이 함께 커진 것이 중요하다. 오래 학습시킬수록 시드마다 결과가 크게 갈린다는 뜻이다. 이 연구는 조기 종료를 쓰지 않고 정해진 예산을 끝까지 소진하므로, 학습이 한 번 무너지면 회복하지 못한 채 끝난다. </w:t>
      </w:r>
      <w:r>
        <w:rPr>
          <w:rFonts w:ascii="바탕" w:hAnsi="바탕" w:eastAsia="바탕"/>
          <w:b/>
          <w:i w:val="0"/>
          <w:sz w:val="20"/>
        </w:rPr>
        <w:t>따라서 본실험에서 보고한 λ*는 예산이 모자라 낮게 나온 값이 아니다 — 예산을 늘리면 오히려 나빠졌다.</w:t>
      </w:r>
    </w:p>
    <w:p>
      <w:pPr>
        <w:widowControl/>
        <w:spacing w:line="480" w:lineRule="auto" w:before="0" w:after="0"/>
        <w:ind w:firstLine="400"/>
        <w:jc w:val="both"/>
      </w:pPr>
      <w:r>
        <w:rPr>
          <w:rFonts w:ascii="바탕" w:hAnsi="바탕" w:eastAsia="바탕"/>
          <w:b w:val="0"/>
          <w:i w:val="0"/>
          <w:sz w:val="20"/>
        </w:rPr>
        <w:t>다만 이것은 이 설정에서의 관찰이다. 조기 종료나 학습률 감소를 쓰면 달라질 수 있고, 그 확인은 이 연구의 범위 밖이다.</w:t>
      </w:r>
    </w:p>
    <w:p>
      <w:pPr>
        <w:keepNext/>
        <w:widowControl/>
        <w:spacing w:line="312" w:lineRule="auto" w:before="200" w:after="80"/>
        <w:jc w:val="left"/>
      </w:pPr>
      <w:r>
        <w:rPr>
          <w:rFonts w:ascii="맑은 고딕" w:hAnsi="맑은 고딕" w:eastAsia="맑은 고딕"/>
          <w:b/>
          <w:i w:val="0"/>
          <w:sz w:val="22"/>
        </w:rPr>
        <w:t>8. 기준선 감사 — 비교 상대인 규칙을 성의 있게 만들었는가</w:t>
      </w:r>
    </w:p>
    <w:p>
      <w:pPr>
        <w:widowControl/>
        <w:spacing w:line="480" w:lineRule="auto" w:before="0" w:after="0"/>
        <w:ind w:firstLine="4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 재는 잣대는 본실험과 같다 — 시드마다 점수를 내고 그 시드 점수들의 IQM을 쓴다.</w:t>
      </w:r>
    </w:p>
    <w:p>
      <w:pPr>
        <w:keepNext/>
        <w:widowControl/>
        <w:spacing w:line="276" w:lineRule="auto" w:before="200" w:after="40"/>
        <w:jc w:val="center"/>
      </w:pPr>
      <w:r>
        <w:rPr>
          <w:rFonts w:ascii="맑은 고딕" w:hAnsi="맑은 고딕" w:eastAsia="맑은 고딕"/>
          <w:b/>
          <w:i w:val="0"/>
          <w:sz w:val="19"/>
        </w:rPr>
        <w:t>표 12. 기준 규칙의 계수를 다시 골랐을 때 (시드 10개 × 100 에피소드, 본실험과 같은 잣대)</w:t>
      </w:r>
    </w:p>
    <w:p>
      <w:pPr>
        <w:keepNext/>
        <w:widowControl/>
        <w:spacing w:line="276" w:lineRule="auto" w:before="0" w:after="60"/>
        <w:jc w:val="center"/>
      </w:pPr>
      <w:r>
        <w:rPr>
          <w:rFonts w:ascii="맑은 고딕" w:hAnsi="맑은 고딕" w:eastAsia="맑은 고딕"/>
          <w:b w:val="0"/>
          <w:i/>
          <w:sz w:val="18"/>
        </w:rPr>
        <w:t>Table 12. Re-selecting the coefficients of each baseline rule (10 seeds x 100 episodes, the same estimator as the main experiment)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35.8</w:t>
            </w:r>
          </w:p>
        </w:tc>
        <w:tc>
          <w:tcPr>
            <w:tcW w:type="dxa" w:w="1512"/>
          </w:tcPr>
          <w:p>
            <w:pPr>
              <w:keepNext/>
              <w:spacing w:line="240" w:lineRule="auto"/>
              <w:jc w:val="center"/>
            </w:pPr>
            <w:r>
              <w:rPr>
                <w:rFonts w:ascii="바탕" w:hAnsi="바탕" w:eastAsia="바탕"/>
                <w:b w:val="0"/>
                <w:i w:val="0"/>
                <w:sz w:val="18"/>
              </w:rPr>
              <w:t>162.3</w:t>
            </w:r>
          </w:p>
        </w:tc>
        <w:tc>
          <w:tcPr>
            <w:tcW w:type="dxa" w:w="1512"/>
          </w:tcPr>
          <w:p>
            <w:pPr>
              <w:keepNext/>
              <w:spacing w:line="240" w:lineRule="auto"/>
              <w:jc w:val="center"/>
            </w:pPr>
            <w:r>
              <w:rPr>
                <w:rFonts w:ascii="바탕" w:hAnsi="바탕" w:eastAsia="바탕"/>
                <w:b w:val="0"/>
                <w:i w:val="0"/>
                <w:sz w:val="18"/>
              </w:rPr>
              <w:t>126.5</w:t>
            </w:r>
          </w:p>
        </w:tc>
        <w:tc>
          <w:tcPr>
            <w:tcW w:type="dxa" w:w="1512"/>
          </w:tcPr>
          <w:p>
            <w:pPr>
              <w:keepNext/>
              <w:spacing w:line="240" w:lineRule="auto"/>
              <w:jc w:val="center"/>
            </w:pPr>
            <w:r>
              <w:rPr>
                <w:rFonts w:ascii="바탕" w:hAnsi="바탕" w:eastAsia="바탕"/>
                <w:b w:val="0"/>
                <w:i w:val="0"/>
                <w:sz w:val="18"/>
              </w:rPr>
              <w:t>더 나은 계수가 있다 (평가셋에서 +126.5)</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17.1</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126점이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4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4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4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w:t>
      </w:r>
      <w:r>
        <w:rPr>
          <w:rFonts w:ascii="바탕" w:hAnsi="바탕" w:eastAsia="바탕"/>
          <w:b/>
          <w:i w:val="0"/>
          <w:sz w:val="20"/>
        </w:rPr>
        <w:t>세 환경</w:t>
      </w:r>
      <w:r>
        <w:rPr>
          <w:rFonts w:ascii="바탕" w:hAnsi="바탕" w:eastAsia="바탕"/>
          <w:b w:val="0"/>
          <w:i w:val="0"/>
          <w:sz w:val="20"/>
        </w:rPr>
        <w:t>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4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 xml:space="preserve">이었다. 보상이 희소한 환경에서는 비용이 없을 때조차 학습이 규칙을 넘어서지 못했고, 보상이 조밀한 환경에서는 학습이 이기되 방법에 따라 이기는 구간이 크게 달랐다. 여기서 '희소·조밀'은 인상이 아니라 잰 값이다 — 기준 규칙으로 도는 동안 MountainCar의 보상은 </w:t>
      </w:r>
      <w:r>
        <w:rPr>
          <w:rFonts w:ascii="바탕" w:hAnsi="바탕" w:eastAsia="바탕"/>
          <w:b/>
          <w:i w:val="0"/>
          <w:sz w:val="20"/>
        </w:rPr>
        <w:t>서로 다른 값이 한 가지뿐</w:t>
      </w:r>
      <w:r>
        <w:rPr>
          <w:rFonts w:ascii="바탕" w:hAnsi="바탕" w:eastAsia="바탕"/>
          <w:b w:val="0"/>
          <w:i w:val="0"/>
          <w:sz w:val="20"/>
        </w:rPr>
        <w:t>(신호 있는 스텝 0.0%)이었고 LunarLander는 16,717가지(99.8%)였다(Ⅲ장 2절).</w:t>
      </w:r>
    </w:p>
    <w:p>
      <w:pPr>
        <w:widowControl/>
        <w:spacing w:line="480" w:lineRule="auto" w:before="0" w:after="0"/>
        <w:ind w:firstLine="400"/>
        <w:jc w:val="both"/>
      </w:pPr>
      <w:r>
        <w:rPr>
          <w:rFonts w:ascii="바탕" w:hAnsi="바탕" w:eastAsia="바탕"/>
          <w:b/>
          <w:i w:val="0"/>
          <w:sz w:val="20"/>
        </w:rPr>
        <w:t>그 차이를 만드는 것이 '좋은 규칙의 존재'인지 '보상 조밀도'인지는 두 환경만으로는 가릴 수 없었다.</w:t>
      </w:r>
      <w:r>
        <w:rPr>
          <w:rFonts w:ascii="바탕" w:hAnsi="바탕" w:eastAsia="바탕"/>
          <w:b w:val="0"/>
          <w:i w:val="0"/>
          <w:sz w:val="20"/>
        </w:rPr>
        <w:t xml:space="preserve"> MountainCar는 둘 다 해당했기 때문이다. 그래서 두 축이 갈리는 환경을 하나 더 넣었다 — MinAtar/Freeway는 </w:t>
      </w:r>
      <w:r>
        <w:rPr>
          <w:rFonts w:ascii="바탕" w:hAnsi="바탕" w:eastAsia="바탕"/>
          <w:b/>
          <w:i w:val="0"/>
          <w:sz w:val="20"/>
        </w:rPr>
        <w:t>규칙 품질로는 가운데</w:t>
      </w:r>
      <w:r>
        <w:rPr>
          <w:rFonts w:ascii="바탕" w:hAnsi="바탕" w:eastAsia="바탕"/>
          <w:b w:val="0"/>
          <w:i w:val="0"/>
          <w:sz w:val="20"/>
        </w:rPr>
        <w:t xml:space="preserve">(손으로 짠 규칙이 쓸 만하지만 최적과는 거리가 있다)이면서 </w:t>
      </w:r>
      <w:r>
        <w:rPr>
          <w:rFonts w:ascii="바탕" w:hAnsi="바탕" w:eastAsia="바탕"/>
          <w:b/>
          <w:i w:val="0"/>
          <w:sz w:val="20"/>
        </w:rPr>
        <w:t>보상 조밀도로는 희소한 쪽 끝</w:t>
      </w:r>
      <w:r>
        <w:rPr>
          <w:rFonts w:ascii="바탕" w:hAnsi="바탕" w:eastAsia="바탕"/>
          <w:b w:val="0"/>
          <w:i w:val="0"/>
          <w:sz w:val="20"/>
        </w:rPr>
        <w:t xml:space="preserve">(신호 있는 스텝 1.6%)이다. 결과는 λ*가 세 계열 모두 </w:t>
      </w:r>
      <w:r>
        <w:rPr>
          <w:rFonts w:ascii="바탕" w:hAnsi="바탕" w:eastAsia="바탕"/>
          <w:b/>
          <w:i w:val="0"/>
          <w:sz w:val="20"/>
        </w:rPr>
        <w:t>0</w:t>
      </w:r>
      <w:r>
        <w:rPr>
          <w:rFonts w:ascii="바탕" w:hAnsi="바탕" w:eastAsia="바탕"/>
          <w:b w:val="0"/>
          <w:i w:val="0"/>
          <w:sz w:val="20"/>
        </w:rPr>
        <w:t xml:space="preserve"> — MountainCar와 같은 값이었다. </w:t>
      </w:r>
      <w:r>
        <w:rPr>
          <w:rFonts w:ascii="바탕" w:hAnsi="바탕" w:eastAsia="바탕"/>
          <w:b/>
          <w:i w:val="0"/>
          <w:sz w:val="20"/>
        </w:rPr>
        <w:t>λ*는 규칙 품질이 아니라 보상 조밀도를 따라간다.</w:t>
      </w:r>
      <w:r>
        <w:rPr>
          <w:rFonts w:ascii="바탕" w:hAnsi="바탕" w:eastAsia="바탕"/>
          <w:b w:val="0"/>
          <w:i w:val="0"/>
          <w:sz w:val="20"/>
        </w:rPr>
        <w:t xml:space="preserve"> 다만 환경이 셋뿐이므로 이것은 세 점이 한 방향을 가리킨다는 뜻이지 상관을 보인 것은 아니다.</w:t>
      </w:r>
    </w:p>
    <w:p>
      <w:pPr>
        <w:widowControl/>
        <w:spacing w:line="480" w:lineRule="auto" w:before="0" w:after="0"/>
        <w:ind w:firstLine="400"/>
        <w:jc w:val="both"/>
      </w:pPr>
      <w:r>
        <w:rPr>
          <w:rFonts w:ascii="바탕" w:hAnsi="바탕" w:eastAsia="바탕"/>
          <w:b w:val="0"/>
          <w:i w:val="0"/>
          <w:sz w:val="20"/>
        </w:rPr>
        <w:t xml:space="preserve">여기에 하나 더 갈라 두어야 할 것이 있다. 학습이 이겼을 때 그것이 </w:t>
      </w:r>
      <w:r>
        <w:rPr>
          <w:rFonts w:ascii="바탕" w:hAnsi="바탕" w:eastAsia="바탕"/>
          <w:b/>
          <w:i w:val="0"/>
          <w:sz w:val="20"/>
        </w:rPr>
        <w:t>행동을 줄여서 이긴 것인지, 같은 행동으로 더 잘해서 이긴 것인지</w:t>
      </w:r>
      <w:r>
        <w:rPr>
          <w:rFonts w:ascii="바탕" w:hAnsi="바탕" w:eastAsia="바탕"/>
          <w:b w:val="0"/>
          <w:i w:val="0"/>
          <w:sz w:val="20"/>
        </w:rPr>
        <w:t xml:space="preserve">는 비용 반영 점수 r′만으로는 알 수 없다. 비용을 빼기 전 원보상과 행동 횟수를 함께 놓고 보면(그림 6) 답이 갈린다 — LunarLander에서 학습은 규칙보다 </w:t>
      </w:r>
      <w:r>
        <w:rPr>
          <w:rFonts w:ascii="바탕" w:hAnsi="바탕" w:eastAsia="바탕"/>
          <w:b/>
          <w:i w:val="0"/>
          <w:sz w:val="20"/>
        </w:rPr>
        <w:t>행동을 덜 쓰면서 보상은 더 받는</w:t>
      </w:r>
      <w:r>
        <w:rPr>
          <w:rFonts w:ascii="바탕" w:hAnsi="바탕" w:eastAsia="바탕"/>
          <w:b w:val="0"/>
          <w:i w:val="0"/>
          <w:sz w:val="20"/>
        </w:rPr>
        <w:t xml:space="preserve"> 지점에 닿는다. 아껴서 이긴 것이 아니라 더 잘해서 이긴 것이다. 반대로 MountainCar에서는 어떤 계열도 그런 지점에 닿지 못했고, 규칙이 모든 학습 궤적 위에 홀로 있었다.</w:t>
      </w:r>
    </w:p>
    <w:p>
      <w:pPr>
        <w:widowControl/>
        <w:spacing w:line="480" w:lineRule="auto" w:before="0" w:after="0"/>
        <w:ind w:firstLine="4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35.8점에서 162.3점으로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4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아주 작은 비용만으로도 세 계열 모두 행동을 멈추고 그대로 굳었다. 얼마나 작은가 — 한 에피소드에서 물게 되는 </w:t>
      </w:r>
      <w:r>
        <w:rPr>
          <w:rFonts w:ascii="바탕" w:hAnsi="바탕" w:eastAsia="바탕"/>
          <w:b/>
          <w:i w:val="0"/>
          <w:sz w:val="20"/>
        </w:rPr>
        <w:t>비용 총액</w:t>
      </w:r>
      <w:r>
        <w:rPr>
          <w:rFonts w:ascii="바탕" w:hAnsi="바탕" w:eastAsia="바탕"/>
          <w:b w:val="0"/>
          <w:i w:val="0"/>
          <w:sz w:val="20"/>
        </w:rPr>
        <w:t xml:space="preserve">이 에피소드 보상 크기의 </w:t>
      </w:r>
      <w:r>
        <w:rPr>
          <w:rFonts w:ascii="바탕" w:hAnsi="바탕" w:eastAsia="바탕"/>
          <w:b/>
          <w:i w:val="0"/>
          <w:sz w:val="20"/>
        </w:rPr>
        <w:t>1%에도 못 미치는</w:t>
      </w:r>
      <w:r>
        <w:rPr>
          <w:rFonts w:ascii="바탕" w:hAnsi="바탕" w:eastAsia="바탕"/>
          <w:b w:val="0"/>
          <w:i w:val="0"/>
          <w:sz w:val="20"/>
        </w:rPr>
        <w:t xml:space="preserve"> 지점에서 이미 목표 도달률이 절반으로 떨어진다.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완전히 멈추는 것은 그보다 4~27배 비싸진 뒤다(Ⅳ장 표 7). 즉 에이전트는 시도를 멈추는 것이 아니라 성공을 멈춘다.</w:t>
      </w:r>
    </w:p>
    <w:p>
      <w:pPr>
        <w:widowControl/>
        <w:spacing w:line="480" w:lineRule="auto" w:before="0" w:after="0"/>
        <w:ind w:firstLine="4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4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4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widowControl/>
        <w:spacing w:line="480" w:lineRule="auto" w:before="0" w:after="0"/>
        <w:ind w:firstLine="4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특히 학습 곡선이 30만 스텝 부근에서 평평해진 뒤 남은 70만 스텝 동안 규칙 선 아래에 머무른다는 것을 함께 실었다 — 최종 점수만으로는 "더 주면 달라졌을 것"이라는 반론에 답할 수 없기 때문이다.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4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보상 신호를 보라.</w:t>
      </w:r>
      <w:r>
        <w:rPr>
          <w:rFonts w:ascii="바탕" w:hAnsi="바탕" w:eastAsia="바탕"/>
          <w:b w:val="0"/>
          <w:i w:val="0"/>
          <w:sz w:val="20"/>
        </w:rPr>
        <w:t xml:space="preserve"> 보상이 상태를 구분해 주는가? 한 에피소드 안에서 보상 값이 거의 변하지 않는다면, 행동 비용을 재기 전에 이미 답이 정해져 있을 가능성이 높다 — 규칙을 쓰라. 이 연구에서 λ*를 가른 것은 '좋은 규칙이 있는가'가 아니라 </w:t>
      </w:r>
      <w:r>
        <w:rPr>
          <w:rFonts w:ascii="바탕" w:hAnsi="바탕" w:eastAsia="바탕"/>
          <w:b/>
          <w:i w:val="0"/>
          <w:sz w:val="20"/>
        </w:rPr>
        <w:t>'보상이 조밀한가'</w:t>
      </w:r>
      <w:r>
        <w:rPr>
          <w:rFonts w:ascii="바탕" w:hAnsi="바탕" w:eastAsia="바탕"/>
          <w:b w:val="0"/>
          <w:i w:val="0"/>
          <w:sz w:val="20"/>
        </w:rPr>
        <w:t xml:space="preserve"> 였다. 규칙 품질이 가운데인 환경도 보상이 희소하면 λ*가 0이었다.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 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 같은 형태의 규칙에서 계수만 다시 골랐을 뿐인데 기준선이 126점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 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 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4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 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 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13. 비용 부과 방식을 바꾸면 λ 눈금이 얼마나 달라지는가 (고정 규칙, 시드 10개 × 100 에피소드)</w:t>
      </w:r>
    </w:p>
    <w:p>
      <w:pPr>
        <w:keepNext/>
        <w:widowControl/>
        <w:spacing w:line="276" w:lineRule="auto" w:before="0" w:after="60"/>
        <w:jc w:val="center"/>
      </w:pPr>
      <w:r>
        <w:rPr>
          <w:rFonts w:ascii="맑은 고딕" w:hAnsi="맑은 고딕" w:eastAsia="맑은 고딕"/>
          <w:b w:val="0"/>
          <w:i/>
          <w:sz w:val="18"/>
        </w:rPr>
        <w:t>Table 13. How the λ scale shifts when the cost model changes (fixed rules, 10 seeds x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119.3</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0.676</w:t>
            </w:r>
          </w:p>
        </w:tc>
        <w:tc>
          <w:tcPr>
            <w:tcW w:type="dxa" w:w="1512"/>
          </w:tcPr>
          <w:p>
            <w:pPr>
              <w:keepNext/>
              <w:spacing w:line="240" w:lineRule="auto"/>
              <w:jc w:val="center"/>
            </w:pPr>
            <w:r>
              <w:rPr>
                <w:rFonts w:ascii="바탕" w:hAnsi="바탕" w:eastAsia="바탕"/>
                <w:b/>
                <w:i w:val="0"/>
                <w:sz w:val="18"/>
              </w:rPr>
              <w:t>26.887</w:t>
            </w:r>
          </w:p>
        </w:tc>
        <w:tc>
          <w:tcPr>
            <w:tcW w:type="dxa" w:w="1512"/>
          </w:tcPr>
          <w:p>
            <w:pPr>
              <w:keepNext/>
              <w:spacing w:line="240" w:lineRule="auto"/>
              <w:jc w:val="center"/>
            </w:pPr>
            <w:r>
              <w:rPr>
                <w:rFonts w:ascii="바탕" w:hAnsi="바탕" w:eastAsia="바탕"/>
                <w:b/>
                <w:i w:val="0"/>
                <w:sz w:val="18"/>
              </w:rPr>
              <w:t>39.8배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121.5</w:t>
            </w:r>
          </w:p>
        </w:tc>
        <w:tc>
          <w:tcPr>
            <w:tcW w:type="dxa" w:w="1512"/>
          </w:tcPr>
          <w:p>
            <w:pPr>
              <w:keepNext/>
              <w:spacing w:line="240" w:lineRule="auto"/>
              <w:jc w:val="center"/>
            </w:pPr>
            <w:r>
              <w:rPr>
                <w:rFonts w:ascii="바탕" w:hAnsi="바탕" w:eastAsia="바탕"/>
                <w:b w:val="0"/>
                <w:i w:val="0"/>
                <w:sz w:val="18"/>
              </w:rPr>
              <w:t>127.5</w:t>
            </w:r>
          </w:p>
        </w:tc>
        <w:tc>
          <w:tcPr>
            <w:tcW w:type="dxa" w:w="1512"/>
          </w:tcPr>
          <w:p>
            <w:pPr>
              <w:keepNext/>
              <w:spacing w:line="240" w:lineRule="auto"/>
              <w:jc w:val="center"/>
            </w:pPr>
            <w:r>
              <w:rPr>
                <w:rFonts w:ascii="바탕" w:hAnsi="바탕" w:eastAsia="바탕"/>
                <w:b w:val="0"/>
                <w:i w:val="0"/>
                <w:sz w:val="18"/>
              </w:rPr>
              <w:t>1.375</w:t>
            </w:r>
          </w:p>
        </w:tc>
        <w:tc>
          <w:tcPr>
            <w:tcW w:type="dxa" w:w="1512"/>
          </w:tcPr>
          <w:p>
            <w:pPr>
              <w:keepNext/>
              <w:spacing w:line="240" w:lineRule="auto"/>
              <w:jc w:val="center"/>
            </w:pPr>
            <w:r>
              <w:rPr>
                <w:rFonts w:ascii="바탕" w:hAnsi="바탕" w:eastAsia="바탕"/>
                <w:b w:val="0"/>
                <w:i w:val="0"/>
                <w:sz w:val="18"/>
              </w:rPr>
              <w:t>1.311</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299.1</w:t>
            </w:r>
          </w:p>
        </w:tc>
        <w:tc>
          <w:tcPr>
            <w:tcW w:type="dxa" w:w="1512"/>
          </w:tcPr>
          <w:p>
            <w:pPr>
              <w:spacing w:line="240" w:lineRule="auto"/>
              <w:jc w:val="center"/>
            </w:pPr>
            <w:r>
              <w:rPr>
                <w:rFonts w:ascii="바탕" w:hAnsi="바탕" w:eastAsia="바탕"/>
                <w:b w:val="0"/>
                <w:i w:val="0"/>
                <w:sz w:val="18"/>
              </w:rPr>
              <w:t>591.9</w:t>
            </w:r>
          </w:p>
        </w:tc>
        <w:tc>
          <w:tcPr>
            <w:tcW w:type="dxa" w:w="1512"/>
          </w:tcPr>
          <w:p>
            <w:pPr>
              <w:spacing w:line="240" w:lineRule="auto"/>
              <w:jc w:val="center"/>
            </w:pPr>
            <w:r>
              <w:rPr>
                <w:rFonts w:ascii="바탕" w:hAnsi="바탕" w:eastAsia="바탕"/>
                <w:b w:val="0"/>
                <w:i w:val="0"/>
                <w:sz w:val="18"/>
              </w:rPr>
              <w:t>0.057</w:t>
            </w:r>
          </w:p>
        </w:tc>
        <w:tc>
          <w:tcPr>
            <w:tcW w:type="dxa" w:w="1512"/>
          </w:tcPr>
          <w:p>
            <w:pPr>
              <w:spacing w:line="240" w:lineRule="auto"/>
              <w:jc w:val="center"/>
            </w:pPr>
            <w:r>
              <w:rPr>
                <w:rFonts w:ascii="바탕" w:hAnsi="바탕" w:eastAsia="바탕"/>
                <w:b w:val="0"/>
                <w:i w:val="0"/>
                <w:sz w:val="18"/>
              </w:rPr>
              <w:t>0.029</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4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 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 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 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이 연구는 조밀도를 재는 지표를 하나 제안하고(보상이 상태를 구분해 주는 정도, Ⅲ장 2절) 세 환경에서 쟀지만, </w:t>
      </w:r>
      <w:r>
        <w:rPr>
          <w:rFonts w:ascii="바탕" w:hAnsi="바탕" w:eastAsia="바탕"/>
          <w:b/>
          <w:i w:val="0"/>
          <w:sz w:val="20"/>
        </w:rPr>
        <w:t>세 점으로는 상관을 말할 수 없다.</w:t>
      </w:r>
      <w:r>
        <w:rPr>
          <w:rFonts w:ascii="바탕" w:hAnsi="바탕" w:eastAsia="바탕"/>
          <w:b w:val="0"/>
          <w:i w:val="0"/>
          <w:sz w:val="20"/>
        </w:rPr>
        <w:t xml:space="preserve"> 여러 환경에서 그 지표와 λ*의 관계를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 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 낫다"는 것을 보였다. 그렇다면 비용을 언제 얼마나 올릴지가 그 자체로 조절 대상이 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Lazy-MDP가 어디에 개입하는지 들여다본다.</w:t>
      </w:r>
      <w:r>
        <w:rPr>
          <w:rFonts w:ascii="바탕" w:hAnsi="바탕" w:eastAsia="바탕"/>
          <w:b w:val="0"/>
          <w:i w:val="0"/>
          <w:sz w:val="20"/>
        </w:rPr>
        <w:t xml:space="preserve"> 이 연구에서 Lazy-MDP만 규칙보다 </w:t>
      </w:r>
      <w:r>
        <w:rPr>
          <w:rFonts w:ascii="바탕" w:hAnsi="바탕" w:eastAsia="바탕"/>
          <w:b/>
          <w:i w:val="0"/>
          <w:sz w:val="20"/>
        </w:rPr>
        <w:t>행동은 덜 쓰고 보상은 더 받는</w:t>
      </w:r>
      <w:r>
        <w:rPr>
          <w:rFonts w:ascii="바탕" w:hAnsi="바탕" w:eastAsia="바탕"/>
          <w:b w:val="0"/>
          <w:i w:val="0"/>
          <w:sz w:val="20"/>
        </w:rPr>
        <w:t xml:space="preserve"> 지점에 닿았고, 한 계열만 이기는 λ가 모두 Lazy-MDP였다. 그런데 이 연구는 "얼마나 이겼는가"만 쟀고 </w:t>
      </w:r>
      <w:r>
        <w:rPr>
          <w:rFonts w:ascii="바탕" w:hAnsi="바탕" w:eastAsia="바탕"/>
          <w:b/>
          <w:i w:val="0"/>
          <w:sz w:val="20"/>
        </w:rPr>
        <w:t>"어느 상태에서 개입했는가"</w:t>
      </w:r>
      <w:r>
        <w:rPr>
          <w:rFonts w:ascii="바탕" w:hAnsi="바탕" w:eastAsia="바탕"/>
          <w:b w:val="0"/>
          <w:i w:val="0"/>
          <w:sz w:val="20"/>
        </w:rPr>
        <w:t xml:space="preserve"> 는 보지 않았다. 원 논문</w:t>
      </w:r>
      <w:r>
        <w:rPr>
          <w:rFonts w:ascii="바탕" w:hAnsi="바탕" w:eastAsia="바탕"/>
          <w:b w:val="0"/>
          <w:i w:val="0"/>
          <w:sz w:val="20"/>
          <w:vertAlign w:val="superscript"/>
        </w:rPr>
        <w:t>[2]</w:t>
      </w:r>
      <w:r>
        <w:rPr>
          <w:rFonts w:ascii="바탕" w:hAnsi="바탕" w:eastAsia="바탕"/>
          <w:b w:val="0"/>
          <w:i w:val="0"/>
          <w:sz w:val="20"/>
        </w:rPr>
        <w:t>이 내세운 해석 가능성이 바로 그 지점이므로, 개입한 상태를 모아 보면 비용이 커질 때 무엇을 포기하고 무엇을 지키는지 알 수 있을 것이다.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pp.669-677, 2022.</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Vol.34, pp.29304-29320, 2021.</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