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학습이 규칙을 이기되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그대로였고,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세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기준선 감사 — "비교 상대인 규칙을 성의 있게 만들었는가"</w:t>
      </w:r>
    </w:p>
    <w:p>
      <w:pPr>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spacing w:line="312" w:lineRule="auto" w:before="160" w:after="60"/>
        <w:jc w:val="left"/>
      </w:pPr>
      <w:r>
        <w:rPr>
          <w:rFonts w:ascii="맑은 고딕" w:hAnsi="맑은 고딕" w:eastAsia="맑은 고딕"/>
          <w:b/>
          <w:i w:val="0"/>
          <w:sz w:val="20"/>
        </w:rPr>
        <w:t>6.3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134"/>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134"/>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134"/>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134"/>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134"/>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134"/>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 [-2, 1]</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134"/>
          </w:tcPr>
          <w:p>
            <w:pPr>
              <w:spacing w:line="240" w:lineRule="auto"/>
              <w:jc w:val="center"/>
            </w:pPr>
            <w:r>
              <w:rPr>
                <w:rFonts w:ascii="바탕" w:hAnsi="바탕" w:eastAsia="바탕"/>
                <w:b w:val="0"/>
                <w:i w:val="0"/>
                <w:sz w:val="18"/>
              </w:rPr>
              <w:t>59 [-4, 129]</w:t>
            </w:r>
          </w:p>
        </w:tc>
        <w:tc>
          <w:tcPr>
            <w:tcW w:type="dxa" w:w="1134"/>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-37 [-39, -35]</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-13 [-57, 35]</w:t>
            </w:r>
          </w:p>
        </w:tc>
        <w:tc>
          <w:tcPr>
            <w:tcW w:type="dxa" w:w="1134"/>
          </w:tcPr>
          <w:p>
            <w:pPr>
              <w:spacing w:line="240" w:lineRule="auto"/>
              <w:jc w:val="center"/>
            </w:pPr>
            <w:r>
              <w:rPr>
                <w:rFonts w:ascii="바탕" w:hAnsi="바탕" w:eastAsia="바탕"/>
                <w:b w:val="0"/>
                <w:i w:val="0"/>
                <w:sz w:val="18"/>
              </w:rPr>
              <w:t>-34 [-129, 24]</w:t>
            </w:r>
          </w:p>
        </w:tc>
        <w:tc>
          <w:tcPr>
            <w:tcW w:type="dxa" w:w="1134"/>
          </w:tcPr>
          <w:p>
            <w:pPr>
              <w:spacing w:line="240" w:lineRule="auto"/>
              <w:jc w:val="center"/>
            </w:pPr>
            <w:r>
              <w:rPr>
                <w:rFonts w:ascii="바탕" w:hAnsi="바탕" w:eastAsia="바탕"/>
                <w:b w:val="0"/>
                <w:i w:val="0"/>
                <w:sz w:val="18"/>
              </w:rPr>
              <w:t>37 [-42, 66]</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-86 [-87, -84]</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-110 [-112, -108]</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-61 [-86, -34]</w:t>
            </w:r>
          </w:p>
        </w:tc>
        <w:tc>
          <w:tcPr>
            <w:tcW w:type="dxa" w:w="1134"/>
          </w:tcPr>
          <w:p>
            <w:pPr>
              <w:spacing w:line="240" w:lineRule="auto"/>
              <w:jc w:val="center"/>
            </w:pPr>
            <w:r>
              <w:rPr>
                <w:rFonts w:ascii="바탕" w:hAnsi="바탕" w:eastAsia="바탕"/>
                <w:b w:val="0"/>
                <w:i w:val="0"/>
                <w:sz w:val="18"/>
              </w:rPr>
              <w:t>-52 [-98, -7]</w:t>
            </w:r>
          </w:p>
        </w:tc>
        <w:tc>
          <w:tcPr>
            <w:tcW w:type="dxa" w:w="1134"/>
          </w:tcPr>
          <w:p>
            <w:pPr>
              <w:spacing w:line="240" w:lineRule="auto"/>
              <w:jc w:val="center"/>
            </w:pPr>
            <w:r>
              <w:rPr>
                <w:rFonts w:ascii="바탕" w:hAnsi="바탕" w:eastAsia="바탕"/>
                <w:b w:val="0"/>
                <w:i w:val="0"/>
                <w:sz w:val="18"/>
              </w:rPr>
              <w:t>-47 [-68, -26]</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-158 [-161, -157]</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-183 [-185, -181]</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-134 [-152, -115]</w:t>
            </w:r>
          </w:p>
        </w:tc>
        <w:tc>
          <w:tcPr>
            <w:tcW w:type="dxa" w:w="1134"/>
          </w:tcPr>
          <w:p>
            <w:pPr>
              <w:spacing w:line="240" w:lineRule="auto"/>
              <w:jc w:val="center"/>
            </w:pPr>
            <w:r>
              <w:rPr>
                <w:rFonts w:ascii="바탕" w:hAnsi="바탕" w:eastAsia="바탕"/>
                <w:b w:val="0"/>
                <w:i w:val="0"/>
                <w:sz w:val="18"/>
              </w:rPr>
              <w:t>-153 [-237, -128]</w:t>
            </w:r>
          </w:p>
        </w:tc>
        <w:tc>
          <w:tcPr>
            <w:tcW w:type="dxa" w:w="1134"/>
          </w:tcPr>
          <w:p>
            <w:pPr>
              <w:spacing w:line="240" w:lineRule="auto"/>
              <w:jc w:val="center"/>
            </w:pPr>
            <w:r>
              <w:rPr>
                <w:rFonts w:ascii="바탕" w:hAnsi="바탕" w:eastAsia="바탕"/>
                <w:b w:val="0"/>
                <w:i w:val="0"/>
                <w:sz w:val="18"/>
              </w:rPr>
              <w:t>-157 [-224, -110]</w:t>
            </w:r>
          </w:p>
        </w:tc>
        <w:tc>
          <w:tcPr>
            <w:tcW w:type="dxa" w:w="1134"/>
          </w:tcPr>
          <w:p>
            <w:pPr>
              <w:spacing w:line="240" w:lineRule="auto"/>
              <w:jc w:val="center"/>
            </w:pPr>
            <w:r>
              <w:rPr>
                <w:rFonts w:ascii="바탕" w:hAnsi="바탕" w:eastAsia="바탕"/>
                <w:b w:val="0"/>
                <w:i w:val="0"/>
                <w:sz w:val="18"/>
              </w:rPr>
              <w:t>-164 [-173, -153]</w:t>
            </w:r>
          </w:p>
        </w:tc>
        <w:tc>
          <w:tcPr>
            <w:tcW w:type="dxa" w:w="1134"/>
          </w:tcPr>
          <w:p>
            <w:pPr>
              <w:spacing w:line="240" w:lineRule="auto"/>
              <w:jc w:val="center"/>
            </w:pPr>
            <w:r>
              <w:rPr>
                <w:rFonts w:ascii="바탕" w:hAnsi="바탕" w:eastAsia="바탕"/>
                <w:b w:val="0"/>
                <w:i w:val="0"/>
                <w:sz w:val="18"/>
              </w:rPr>
              <w:t>-207 [-209, -205]</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-245 [-256, -233]</w:t>
            </w:r>
          </w:p>
        </w:tc>
        <w:tc>
          <w:tcPr>
            <w:tcW w:type="dxa" w:w="1134"/>
          </w:tcPr>
          <w:p>
            <w:pPr>
              <w:spacing w:line="240" w:lineRule="auto"/>
              <w:jc w:val="center"/>
            </w:pPr>
            <w:r>
              <w:rPr>
                <w:rFonts w:ascii="바탕" w:hAnsi="바탕" w:eastAsia="바탕"/>
                <w:b w:val="0"/>
                <w:i w:val="0"/>
                <w:sz w:val="18"/>
              </w:rPr>
              <w:t>-267 [-270, -266]</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-210 [-330, -148]</w:t>
            </w:r>
          </w:p>
        </w:tc>
        <w:tc>
          <w:tcPr>
            <w:tcW w:type="dxa" w:w="1134"/>
          </w:tcPr>
          <w:p>
            <w:pPr>
              <w:spacing w:line="240" w:lineRule="auto"/>
              <w:jc w:val="center"/>
            </w:pPr>
            <w:r>
              <w:rPr>
                <w:rFonts w:ascii="바탕" w:hAnsi="바탕" w:eastAsia="바탕"/>
                <w:b w:val="0"/>
                <w:i w:val="0"/>
                <w:sz w:val="18"/>
              </w:rPr>
              <w:t>-286 [-341, -205]</w:t>
            </w:r>
          </w:p>
        </w:tc>
        <w:tc>
          <w:tcPr>
            <w:tcW w:type="dxa" w:w="1134"/>
          </w:tcPr>
          <w:p>
            <w:pPr>
              <w:spacing w:line="240" w:lineRule="auto"/>
              <w:jc w:val="center"/>
            </w:pPr>
            <w:r>
              <w:rPr>
                <w:rFonts w:ascii="바탕" w:hAnsi="바탕" w:eastAsia="바탕"/>
                <w:b w:val="0"/>
                <w:i w:val="0"/>
                <w:sz w:val="18"/>
              </w:rPr>
              <w:t>-175 [-267, -137]</w:t>
            </w:r>
          </w:p>
        </w:tc>
        <w:tc>
          <w:tcPr>
            <w:tcW w:type="dxa" w:w="1134"/>
          </w:tcPr>
          <w:p>
            <w:pPr>
              <w:spacing w:line="240" w:lineRule="auto"/>
              <w:jc w:val="center"/>
            </w:pPr>
            <w:r>
              <w:rPr>
                <w:rFonts w:ascii="바탕" w:hAnsi="바탕" w:eastAsia="바탕"/>
                <w:b w:val="0"/>
                <w:i w:val="0"/>
                <w:sz w:val="18"/>
              </w:rPr>
              <w:t>-326 [-339, -312]</w:t>
            </w:r>
          </w:p>
        </w:tc>
        <w:tc>
          <w:tcPr>
            <w:tcW w:type="dxa" w:w="1134"/>
          </w:tcPr>
          <w:p>
            <w:pPr>
              <w:spacing w:line="240" w:lineRule="auto"/>
              <w:jc w:val="center"/>
            </w:pPr>
            <w:r>
              <w:rPr>
                <w:rFonts w:ascii="바탕" w:hAnsi="바탕" w:eastAsia="바탕"/>
                <w:b w:val="0"/>
                <w:i w:val="0"/>
                <w:sz w:val="18"/>
              </w:rPr>
              <w:t>-328 [-331, -327]</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341</w:t>
            </w:r>
          </w:p>
        </w:tc>
        <w:tc>
          <w:tcPr>
            <w:tcW w:type="dxa" w:w="1134"/>
          </w:tcPr>
          <w:p>
            <w:pPr>
              <w:spacing w:line="240" w:lineRule="auto"/>
              <w:jc w:val="center"/>
            </w:pPr>
            <w:r>
              <w:rPr>
                <w:rFonts w:ascii="바탕" w:hAnsi="바탕" w:eastAsia="바탕"/>
                <w:b w:val="0"/>
                <w:i w:val="0"/>
                <w:sz w:val="18"/>
              </w:rPr>
              <w:t>406</w:t>
            </w:r>
          </w:p>
        </w:tc>
        <w:tc>
          <w:tcPr>
            <w:tcW w:type="dxa" w:w="1134"/>
          </w:tcPr>
          <w:p>
            <w:pPr>
              <w:spacing w:line="240" w:lineRule="auto"/>
              <w:jc w:val="center"/>
            </w:pPr>
            <w:r>
              <w:rPr>
                <w:rFonts w:ascii="바탕" w:hAnsi="바탕" w:eastAsia="바탕"/>
                <w:b w:val="0"/>
                <w:i w:val="0"/>
                <w:sz w:val="18"/>
              </w:rPr>
              <w:t>247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222</w:t>
            </w:r>
          </w:p>
        </w:tc>
        <w:tc>
          <w:tcPr>
            <w:tcW w:type="dxa" w:w="1134"/>
          </w:tcPr>
          <w:p>
            <w:pPr>
              <w:spacing w:line="240" w:lineRule="auto"/>
              <w:jc w:val="center"/>
            </w:pPr>
            <w:r>
              <w:rPr>
                <w:rFonts w:ascii="바탕" w:hAnsi="바탕" w:eastAsia="바탕"/>
                <w:b w:val="0"/>
                <w:i w:val="0"/>
                <w:sz w:val="18"/>
              </w:rPr>
              <w:t>393</w:t>
            </w:r>
          </w:p>
        </w:tc>
        <w:tc>
          <w:tcPr>
            <w:tcW w:type="dxa" w:w="1134"/>
          </w:tcPr>
          <w:p>
            <w:pPr>
              <w:spacing w:line="240" w:lineRule="auto"/>
              <w:jc w:val="center"/>
            </w:pPr>
            <w:r>
              <w:rPr>
                <w:rFonts w:ascii="바탕" w:hAnsi="바탕" w:eastAsia="바탕"/>
                <w:b w:val="0"/>
                <w:i w:val="0"/>
                <w:sz w:val="18"/>
              </w:rPr>
              <w:t>184</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177</w:t>
            </w:r>
          </w:p>
        </w:tc>
        <w:tc>
          <w:tcPr>
            <w:tcW w:type="dxa" w:w="1134"/>
          </w:tcPr>
          <w:p>
            <w:pPr>
              <w:spacing w:line="240" w:lineRule="auto"/>
              <w:jc w:val="center"/>
            </w:pPr>
            <w:r>
              <w:rPr>
                <w:rFonts w:ascii="바탕" w:hAnsi="바탕" w:eastAsia="바탕"/>
                <w:b w:val="0"/>
                <w:i w:val="0"/>
                <w:sz w:val="18"/>
              </w:rPr>
              <w:t>261</w:t>
            </w:r>
          </w:p>
        </w:tc>
        <w:tc>
          <w:tcPr>
            <w:tcW w:type="dxa" w:w="1134"/>
          </w:tcPr>
          <w:p>
            <w:pPr>
              <w:spacing w:line="240" w:lineRule="auto"/>
              <w:jc w:val="center"/>
            </w:pPr>
            <w:r>
              <w:rPr>
                <w:rFonts w:ascii="바탕" w:hAnsi="바탕" w:eastAsia="바탕"/>
                <w:b w:val="0"/>
                <w:i w:val="0"/>
                <w:sz w:val="18"/>
              </w:rPr>
              <w:t>151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156</w:t>
            </w:r>
          </w:p>
        </w:tc>
        <w:tc>
          <w:tcPr>
            <w:tcW w:type="dxa" w:w="1134"/>
          </w:tcPr>
          <w:p>
            <w:pPr>
              <w:spacing w:line="240" w:lineRule="auto"/>
              <w:jc w:val="center"/>
            </w:pPr>
            <w:r>
              <w:rPr>
                <w:rFonts w:ascii="바탕" w:hAnsi="바탕" w:eastAsia="바탕"/>
                <w:b w:val="0"/>
                <w:i w:val="0"/>
                <w:sz w:val="18"/>
              </w:rPr>
              <w:t>210</w:t>
            </w:r>
          </w:p>
        </w:tc>
        <w:tc>
          <w:tcPr>
            <w:tcW w:type="dxa" w:w="1134"/>
          </w:tcPr>
          <w:p>
            <w:pPr>
              <w:spacing w:line="240" w:lineRule="auto"/>
              <w:jc w:val="center"/>
            </w:pPr>
            <w:r>
              <w:rPr>
                <w:rFonts w:ascii="바탕" w:hAnsi="바탕" w:eastAsia="바탕"/>
                <w:b w:val="0"/>
                <w:i w:val="0"/>
                <w:sz w:val="18"/>
              </w:rPr>
              <w:t>139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144</w:t>
            </w:r>
          </w:p>
        </w:tc>
        <w:tc>
          <w:tcPr>
            <w:tcW w:type="dxa" w:w="1134"/>
          </w:tcPr>
          <w:p>
            <w:pPr>
              <w:spacing w:line="240" w:lineRule="auto"/>
              <w:jc w:val="center"/>
            </w:pPr>
            <w:r>
              <w:rPr>
                <w:rFonts w:ascii="바탕" w:hAnsi="바탕" w:eastAsia="바탕"/>
                <w:b w:val="0"/>
                <w:i w:val="0"/>
                <w:sz w:val="18"/>
              </w:rPr>
              <w:t>218</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149</w:t>
            </w:r>
          </w:p>
        </w:tc>
        <w:tc>
          <w:tcPr>
            <w:tcW w:type="dxa" w:w="1134"/>
          </w:tcPr>
          <w:p>
            <w:pPr>
              <w:spacing w:line="240" w:lineRule="auto"/>
              <w:jc w:val="center"/>
            </w:pPr>
            <w:r>
              <w:rPr>
                <w:rFonts w:ascii="바탕" w:hAnsi="바탕" w:eastAsia="바탕"/>
                <w:b w:val="0"/>
                <w:i w:val="0"/>
                <w:sz w:val="18"/>
              </w:rPr>
              <w:t>135</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112</w:t>
            </w:r>
          </w:p>
        </w:tc>
        <w:tc>
          <w:tcPr>
            <w:tcW w:type="dxa" w:w="1134"/>
          </w:tcPr>
          <w:p>
            <w:pPr>
              <w:spacing w:line="240" w:lineRule="auto"/>
              <w:jc w:val="center"/>
            </w:pPr>
            <w:r>
              <w:rPr>
                <w:rFonts w:ascii="바탕" w:hAnsi="바탕" w:eastAsia="바탕"/>
                <w:b w:val="0"/>
                <w:i w:val="0"/>
                <w:sz w:val="18"/>
              </w:rPr>
              <w:t>113</w:t>
            </w:r>
          </w:p>
        </w:tc>
        <w:tc>
          <w:tcPr>
            <w:tcW w:type="dxa" w:w="1134"/>
          </w:tcPr>
          <w:p>
            <w:pPr>
              <w:spacing w:line="240" w:lineRule="auto"/>
              <w:jc w:val="center"/>
            </w:pPr>
            <w:r>
              <w:rPr>
                <w:rFonts w:ascii="바탕" w:hAnsi="바탕" w:eastAsia="바탕"/>
                <w:b w:val="0"/>
                <w:i w:val="0"/>
                <w:sz w:val="18"/>
              </w:rPr>
              <w:t>118</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DEDED"/>
          </w:tcPr>
          <w:p>
            <w:pPr>
              <w:spacing w:line="240" w:lineRule="auto"/>
              <w:jc w:val="center"/>
            </w:pPr>
            <w:r/>
            <w:r>
              <w:rPr>
                <w:rFonts w:ascii="맑은 고딕" w:hAnsi="맑은 고딕" w:eastAsia="맑은 고딕"/>
                <w:b/>
                <w:i w:val="0"/>
                <w:sz w:val="18"/>
              </w:rPr>
              <w:t>계열</w:t>
            </w:r>
          </w:p>
        </w:tc>
        <w:tc>
          <w:tcPr>
            <w:tcW w:type="dxa" w:w="1814"/>
            <w:shd w:val="clear" w:color="auto" w:fill="EDEDED"/>
          </w:tcPr>
          <w:p>
            <w:pPr>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spacing w:line="240" w:lineRule="auto"/>
              <w:jc w:val="center"/>
            </w:pPr>
            <w:r/>
            <w:r>
              <w:rPr>
                <w:rFonts w:ascii="맑은 고딕" w:hAnsi="맑은 고딕" w:eastAsia="맑은 고딕"/>
                <w:b/>
                <w:i w:val="0"/>
                <w:sz w:val="18"/>
              </w:rPr>
              <w:t>λ=0 기준값</w:t>
            </w:r>
          </w:p>
        </w:tc>
      </w:tr>
      <w:tr>
        <w:tc>
          <w:tcPr>
            <w:tcW w:type="dxa" w:w="1814"/>
          </w:tcPr>
          <w:p>
            <w:pPr>
              <w:spacing w:line="240" w:lineRule="auto"/>
              <w:jc w:val="left"/>
            </w:pPr>
            <w:r>
              <w:rPr>
                <w:rFonts w:ascii="바탕" w:hAnsi="바탕" w:eastAsia="바탕"/>
                <w:b w:val="0"/>
                <w:i w:val="0"/>
                <w:sz w:val="18"/>
              </w:rPr>
              <w:t>표준 DQN</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141회 / 62%</w:t>
            </w:r>
          </w:p>
        </w:tc>
      </w:tr>
      <w:tr>
        <w:tc>
          <w:tcPr>
            <w:tcW w:type="dxa" w:w="1814"/>
          </w:tcPr>
          <w:p>
            <w:pPr>
              <w:spacing w:line="240" w:lineRule="auto"/>
              <w:jc w:val="left"/>
            </w:pPr>
            <w:r>
              <w:rPr>
                <w:rFonts w:ascii="바탕" w:hAnsi="바탕" w:eastAsia="바탕"/>
                <w:b w:val="0"/>
                <w:i w:val="0"/>
                <w:sz w:val="18"/>
              </w:rPr>
              <w:t>TempoRL</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123회 / 86%</w:t>
            </w:r>
          </w:p>
        </w:tc>
      </w:tr>
      <w:t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8.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8.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200" w:after="80"/>
        <w:jc w:val="left"/>
      </w:pPr>
      <w:r>
        <w:rPr>
          <w:rFonts w:ascii="맑은 고딕" w:hAnsi="맑은 고딕" w:eastAsia="맑은 고딕"/>
          <w:b/>
          <w:i w:val="0"/>
          <w:sz w:val="22"/>
        </w:rPr>
        <w:t>6. 기준선 감사 — 비교 상대인 규칙을 성의 있게 만들었는가</w:t>
      </w:r>
    </w:p>
    <w:p>
      <w:pPr>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spacing w:line="276" w:lineRule="auto" w:before="200" w:after="40"/>
        <w:jc w:val="center"/>
      </w:pPr>
      <w:r>
        <w:rPr>
          <w:rFonts w:ascii="맑은 고딕" w:hAnsi="맑은 고딕" w:eastAsia="맑은 고딕"/>
          <w:b/>
          <w:i w:val="0"/>
          <w:sz w:val="19"/>
        </w:rPr>
        <w:t>표 9. 기준 규칙의 계수를 다시 골랐을 때</w:t>
      </w:r>
    </w:p>
    <w:p>
      <w:pPr>
        <w:spacing w:line="276" w:lineRule="auto" w:before="0" w:after="60"/>
        <w:jc w:val="center"/>
      </w:pPr>
      <w:r>
        <w:rPr>
          <w:rFonts w:ascii="맑은 고딕" w:hAnsi="맑은 고딕" w:eastAsia="맑은 고딕"/>
          <w:b w:val="0"/>
          <w:i/>
          <w:sz w:val="18"/>
        </w:rPr>
        <w:t>Table 9. Re-selecting the coefficients of each baseline rule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w:t>
            </w:r>
          </w:p>
        </w:tc>
        <w:tc>
          <w:tcPr>
            <w:tcW w:type="dxa" w:w="1512"/>
            <w:shd w:val="clear" w:color="auto" w:fill="EDEDED"/>
          </w:tcPr>
          <w:p>
            <w:pPr>
              <w:spacing w:line="240" w:lineRule="auto"/>
              <w:jc w:val="center"/>
            </w:pPr>
            <w:r/>
            <w:r>
              <w:rPr>
                <w:rFonts w:ascii="맑은 고딕" w:hAnsi="맑은 고딕" w:eastAsia="맑은 고딕"/>
                <w:b/>
                <w:i w:val="0"/>
                <w:sz w:val="18"/>
              </w:rPr>
              <w:t>규칙</w:t>
            </w:r>
          </w:p>
        </w:tc>
        <w:tc>
          <w:tcPr>
            <w:tcW w:type="dxa" w:w="1512"/>
            <w:shd w:val="clear" w:color="auto" w:fill="EDEDED"/>
          </w:tcPr>
          <w:p>
            <w:pPr>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spacing w:line="240" w:lineRule="auto"/>
              <w:jc w:val="center"/>
            </w:pPr>
            <w:r/>
            <w:r>
              <w:rPr>
                <w:rFonts w:ascii="맑은 고딕" w:hAnsi="맑은 고딕" w:eastAsia="맑은 고딕"/>
                <w:b/>
                <w:i w:val="0"/>
                <w:sz w:val="18"/>
              </w:rPr>
              <w:t>차이</w:t>
            </w:r>
          </w:p>
        </w:tc>
        <w:tc>
          <w:tcPr>
            <w:tcW w:type="dxa" w:w="1512"/>
            <w:shd w:val="clear" w:color="auto" w:fill="EDEDED"/>
          </w:tcPr>
          <w:p>
            <w:pPr>
              <w:spacing w:line="240" w:lineRule="auto"/>
              <w:jc w:val="center"/>
            </w:pPr>
            <w:r/>
            <w:r>
              <w:rPr>
                <w:rFonts w:ascii="맑은 고딕" w:hAnsi="맑은 고딕" w:eastAsia="맑은 고딕"/>
                <w:b/>
                <w:i w:val="0"/>
                <w:sz w:val="18"/>
              </w:rPr>
              <w:t>판정</w:t>
            </w:r>
          </w:p>
        </w:tc>
      </w:tr>
      <w:tr>
        <w:tc>
          <w:tcPr>
            <w:tcW w:type="dxa" w:w="1512"/>
          </w:tcPr>
          <w:p>
            <w:pPr>
              <w:spacing w:line="240" w:lineRule="auto"/>
              <w:jc w:val="left"/>
            </w:pPr>
            <w:r>
              <w:rPr>
                <w:rFonts w:ascii="바탕" w:hAnsi="바탕" w:eastAsia="바탕"/>
                <w:b w:val="0"/>
                <w:i w:val="0"/>
                <w:sz w:val="18"/>
              </w:rPr>
              <w:t>MountainCar-v0</w:t>
            </w:r>
          </w:p>
        </w:tc>
        <w:tc>
          <w:tcPr>
            <w:tcW w:type="dxa" w:w="1512"/>
          </w:tcPr>
          <w:p>
            <w:pPr>
              <w:spacing w:line="240" w:lineRule="auto"/>
              <w:jc w:val="center"/>
            </w:pPr>
            <w:r>
              <w:rPr>
                <w:rFonts w:ascii="바탕" w:hAnsi="바탕" w:eastAsia="바탕"/>
                <w:b w:val="0"/>
                <w:i w:val="0"/>
                <w:sz w:val="18"/>
              </w:rPr>
              <w:t>pump 규칙</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r>
        <w:tc>
          <w:tcPr>
            <w:tcW w:type="dxa" w:w="1512"/>
          </w:tcPr>
          <w:p>
            <w:pPr>
              <w:spacing w:line="240" w:lineRule="auto"/>
              <w:jc w:val="left"/>
            </w:pPr>
            <w:r>
              <w:rPr>
                <w:rFonts w:ascii="바탕" w:hAnsi="바탕" w:eastAsia="바탕"/>
                <w:b w:val="0"/>
                <w:i w:val="0"/>
                <w:sz w:val="18"/>
              </w:rPr>
              <w:t>LunarLander-v3</w:t>
            </w:r>
          </w:p>
        </w:tc>
        <w:tc>
          <w:tcPr>
            <w:tcW w:type="dxa" w:w="1512"/>
          </w:tcPr>
          <w:p>
            <w:pPr>
              <w:spacing w:line="240" w:lineRule="auto"/>
              <w:jc w:val="center"/>
            </w:pPr>
            <w:r>
              <w:rPr>
                <w:rFonts w:ascii="바탕" w:hAnsi="바탕" w:eastAsia="바탕"/>
                <w:b w:val="0"/>
                <w:i w:val="0"/>
                <w:sz w:val="18"/>
              </w:rPr>
              <w:t>임계값 규칙</w:t>
            </w:r>
          </w:p>
        </w:tc>
        <w:tc>
          <w:tcPr>
            <w:tcW w:type="dxa" w:w="1512"/>
          </w:tcPr>
          <w:p>
            <w:pPr>
              <w:spacing w:line="240" w:lineRule="auto"/>
              <w:jc w:val="center"/>
            </w:pPr>
            <w:r>
              <w:rPr>
                <w:rFonts w:ascii="바탕" w:hAnsi="바탕" w:eastAsia="바탕"/>
                <w:b w:val="0"/>
                <w:i w:val="0"/>
                <w:sz w:val="18"/>
              </w:rPr>
              <w:t>38.3</w:t>
            </w:r>
          </w:p>
        </w:tc>
        <w:tc>
          <w:tcPr>
            <w:tcW w:type="dxa" w:w="1512"/>
          </w:tcPr>
          <w:p>
            <w:pPr>
              <w:spacing w:line="240" w:lineRule="auto"/>
              <w:jc w:val="center"/>
            </w:pPr>
            <w:r>
              <w:rPr>
                <w:rFonts w:ascii="바탕" w:hAnsi="바탕" w:eastAsia="바탕"/>
                <w:b w:val="0"/>
                <w:i w:val="0"/>
                <w:sz w:val="18"/>
              </w:rPr>
              <w:t>179.8</w:t>
            </w:r>
          </w:p>
        </w:tc>
        <w:tc>
          <w:tcPr>
            <w:tcW w:type="dxa" w:w="1512"/>
          </w:tcPr>
          <w:p>
            <w:pPr>
              <w:spacing w:line="240" w:lineRule="auto"/>
              <w:jc w:val="center"/>
            </w:pPr>
            <w:r>
              <w:rPr>
                <w:rFonts w:ascii="바탕" w:hAnsi="바탕" w:eastAsia="바탕"/>
                <w:b w:val="0"/>
                <w:i w:val="0"/>
                <w:sz w:val="18"/>
              </w:rPr>
              <w:t>141.6</w:t>
            </w:r>
          </w:p>
        </w:tc>
        <w:tc>
          <w:tcPr>
            <w:tcW w:type="dxa" w:w="1512"/>
          </w:tcPr>
          <w:p>
            <w:pPr>
              <w:spacing w:line="240" w:lineRule="auto"/>
              <w:jc w:val="center"/>
            </w:pPr>
            <w:r>
              <w:rPr>
                <w:rFonts w:ascii="바탕" w:hAnsi="바탕" w:eastAsia="바탕"/>
                <w:b w:val="0"/>
                <w:i w:val="0"/>
                <w:sz w:val="18"/>
              </w:rPr>
              <w:t>더 나은 계수가 있다 (평가셋에서 +141.6)</w:t>
            </w:r>
          </w:p>
        </w:tc>
      </w:tr>
      <w:t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않았지만,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(같은 형태의 규칙, 계수만 다름. 튜닝은 평가에 쓰지 않는 에피소드에서 했다). 그 결과 표준 DQN의 λ*가 절반으로 줄고,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넷째,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10.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10.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