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-163 [-200, -125]</w:t>
            </w:r>
          </w:p>
        </w:tc>
        <w:tc>
          <w:tcPr>
            <w:tcW w:type="dxa" w:w="1512"/>
          </w:tcPr>
          <w:p>
            <w:pPr>
              <w:spacing w:line="240" w:lineRule="auto"/>
              <w:jc w:val="center"/>
            </w:pPr>
            <w:r>
              <w:rPr>
                <w:rFonts w:ascii="바탕" w:hAnsi="바탕" w:eastAsia="바탕"/>
                <w:b w:val="0"/>
                <w:i w:val="0"/>
                <w:sz w:val="18"/>
              </w:rPr>
              <w:t>-179 [-179, -179]</w:t>
            </w:r>
          </w:p>
        </w:tc>
        <w:tc>
          <w:tcPr>
            <w:tcW w:type="dxa" w:w="1512"/>
          </w:tcPr>
          <w:p>
            <w:pPr>
              <w:spacing w:line="240" w:lineRule="auto"/>
              <w:jc w:val="center"/>
            </w:pPr>
            <w:r>
              <w:rPr>
                <w:rFonts w:ascii="바탕" w:hAnsi="바탕" w:eastAsia="바탕"/>
                <w:b w:val="0"/>
                <w:i w:val="0"/>
                <w:sz w:val="18"/>
              </w:rPr>
              <w:t>-163 [-163, -163]</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-139 [-156, -122]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-173 [-173, -173]</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-150 [-162, -139]</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-119 [-119,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-150 [-170, -130]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-126 [-126, -126]</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-201 [-201, -200]</w:t>
            </w:r>
          </w:p>
        </w:tc>
        <w:tc>
          <w:tcPr>
            <w:tcW w:type="dxa" w:w="1512"/>
          </w:tcPr>
          <w:p>
            <w:pPr>
              <w:spacing w:line="240" w:lineRule="auto"/>
              <w:jc w:val="center"/>
            </w:pPr>
            <w:r>
              <w:rPr>
                <w:rFonts w:ascii="바탕" w:hAnsi="바탕" w:eastAsia="바탕"/>
                <w:b w:val="0"/>
                <w:i w:val="0"/>
                <w:sz w:val="18"/>
              </w:rPr>
              <w:t>-154 [-154, -154]</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179</w:t>
            </w:r>
          </w:p>
        </w:tc>
        <w:tc>
          <w:tcPr>
            <w:tcW w:type="dxa" w:w="1512"/>
          </w:tcPr>
          <w:p>
            <w:pPr>
              <w:spacing w:line="240" w:lineRule="auto"/>
              <w:jc w:val="center"/>
            </w:pPr>
            <w:r>
              <w:rPr>
                <w:rFonts w:ascii="바탕" w:hAnsi="바탕" w:eastAsia="바탕"/>
                <w:b w:val="0"/>
                <w:i w:val="0"/>
                <w:sz w:val="18"/>
              </w:rPr>
              <w:t>163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106</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146</w:t>
            </w:r>
          </w:p>
        </w:tc>
        <w:tc>
          <w:tcPr>
            <w:tcW w:type="dxa" w:w="1512"/>
          </w:tcPr>
          <w:p>
            <w:pPr>
              <w:spacing w:line="240" w:lineRule="auto"/>
              <w:jc w:val="center"/>
            </w:pPr>
            <w:r>
              <w:rPr>
                <w:rFonts w:ascii="바탕" w:hAnsi="바탕" w:eastAsia="바탕"/>
                <w:b w:val="0"/>
                <w:i w:val="0"/>
                <w:sz w:val="18"/>
              </w:rPr>
              <w:t>11</w:t>
            </w:r>
          </w:p>
        </w:tc>
        <w:tc>
          <w:tcPr>
            <w:tcW w:type="dxa" w:w="1512"/>
          </w:tcPr>
          <w:p>
            <w:pPr>
              <w:spacing w:line="240" w:lineRule="auto"/>
              <w:jc w:val="center"/>
            </w:pPr>
            <w:r>
              <w:rPr>
                <w:rFonts w:ascii="바탕" w:hAnsi="바탕" w:eastAsia="바탕"/>
                <w:b w:val="0"/>
                <w:i w:val="0"/>
                <w:sz w:val="18"/>
              </w:rPr>
              <w:t>118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146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95</w:t>
            </w:r>
          </w:p>
        </w:tc>
        <w:tc>
          <w:tcPr>
            <w:tcW w:type="dxa" w:w="1512"/>
          </w:tcPr>
          <w:p>
            <w:pPr>
              <w:spacing w:line="240" w:lineRule="auto"/>
              <w:jc w:val="center"/>
            </w:pPr>
            <w:r>
              <w:rPr>
                <w:rFonts w:ascii="바탕" w:hAnsi="바탕" w:eastAsia="바탕"/>
                <w:b w:val="0"/>
                <w:i w:val="0"/>
                <w:sz w:val="18"/>
              </w:rPr>
              <w:t>150</w:t>
            </w:r>
          </w:p>
        </w:tc>
        <w:tc>
          <w:tcPr>
            <w:tcW w:type="dxa" w:w="1512"/>
          </w:tcPr>
          <w:p>
            <w:pPr>
              <w:spacing w:line="240" w:lineRule="auto"/>
              <w:jc w:val="center"/>
            </w:pPr>
            <w:r>
              <w:rPr>
                <w:rFonts w:ascii="바탕" w:hAnsi="바탕" w:eastAsia="바탕"/>
                <w:b w:val="0"/>
                <w:i w:val="0"/>
                <w:sz w:val="18"/>
              </w:rPr>
              <w:t>67</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0.003, 완전히 0이 되는 첫 λ = 0.005</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7.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