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결론을 바꾼 적이 있다. 시드 0 하나만 보면 TempoRL이 MountainCar에서 가장 좋았지만, 시드 10개로 재니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2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2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2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2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2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2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3011567"/>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1156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2982575"/>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298257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2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5는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040000" cy="2786959"/>
            <wp:docPr id="5" name="Picture 5"/>
            <wp:cNvGraphicFramePr>
              <a:graphicFrameLocks noChangeAspect="1"/>
            </wp:cNvGraphicFramePr>
            <a:graphic>
              <a:graphicData uri="http://schemas.openxmlformats.org/drawingml/2006/picture">
                <pic:pic>
                  <pic:nvPicPr>
                    <pic:cNvPr id="0" name="fig5_fairness_curves_MountainCar-v0.png"/>
                    <pic:cNvPicPr/>
                  </pic:nvPicPr>
                  <pic:blipFill>
                    <a:blip r:embed="rId14"/>
                    <a:stretch>
                      <a:fillRect/>
                    </a:stretch>
                  </pic:blipFill>
                  <pic:spPr>
                    <a:xfrm>
                      <a:off x="0" y="0"/>
                      <a:ext cx="5040000" cy="278695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5.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keepNext/>
        <w:widowControl/>
        <w:spacing w:line="276" w:lineRule="auto" w:before="200" w:after="40"/>
        <w:jc w:val="center"/>
      </w:pPr>
      <w:r>
        <w:rPr>
          <w:rFonts w:ascii="맑은 고딕" w:hAnsi="맑은 고딕" w:eastAsia="맑은 고딕"/>
          <w:b/>
          <w:i w:val="0"/>
          <w:sz w:val="19"/>
        </w:rPr>
        <w:t>표 10. 기준 규칙의 계수를 다시 골랐을 때 (평가 100 에피소드)</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(100 evaluation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38.3</w:t>
            </w:r>
          </w:p>
        </w:tc>
        <w:tc>
          <w:tcPr>
            <w:tcW w:type="dxa" w:w="1512"/>
          </w:tcPr>
          <w:p>
            <w:pPr>
              <w:keepNext/>
              <w:spacing w:line="240" w:lineRule="auto"/>
              <w:jc w:val="center"/>
            </w:pPr>
            <w:r>
              <w:rPr>
                <w:rFonts w:ascii="바탕" w:hAnsi="바탕" w:eastAsia="바탕"/>
                <w:b w:val="0"/>
                <w:i w:val="0"/>
                <w:sz w:val="18"/>
              </w:rPr>
              <w:t>179.8</w:t>
            </w:r>
          </w:p>
        </w:tc>
        <w:tc>
          <w:tcPr>
            <w:tcW w:type="dxa" w:w="1512"/>
          </w:tcPr>
          <w:p>
            <w:pPr>
              <w:keepNext/>
              <w:spacing w:line="240" w:lineRule="auto"/>
              <w:jc w:val="center"/>
            </w:pPr>
            <w:r>
              <w:rPr>
                <w:rFonts w:ascii="바탕" w:hAnsi="바탕" w:eastAsia="바탕"/>
                <w:b w:val="0"/>
                <w:i w:val="0"/>
                <w:sz w:val="18"/>
              </w:rPr>
              <w:t>141.6</w:t>
            </w:r>
          </w:p>
        </w:tc>
        <w:tc>
          <w:tcPr>
            <w:tcW w:type="dxa" w:w="1512"/>
          </w:tcPr>
          <w:p>
            <w:pPr>
              <w:keepNext/>
              <w:spacing w:line="240" w:lineRule="auto"/>
              <w:jc w:val="center"/>
            </w:pPr>
            <w:r>
              <w:rPr>
                <w:rFonts w:ascii="바탕" w:hAnsi="바탕" w:eastAsia="바탕"/>
                <w:b w:val="0"/>
                <w:i w:val="0"/>
                <w:sz w:val="18"/>
              </w:rPr>
              <w:t>더 나은 계수가 있다 (평가셋에서 +141.6)</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표의 평가는 100 에피소드다(다른 표는 시드 10개 × 100 에피소드). 그래서 같은 규칙의 점수가 표마다 소수점 아래에서 조금 다를 수 있다 — pump 규칙이 여기서는 −119.8, 다른 표에서는 −119.3인 것이 그 때문이다.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멈추는 것은 그보다 3~10배 비싸진 뒤다.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119.2</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0.673</w:t>
            </w:r>
          </w:p>
        </w:tc>
        <w:tc>
          <w:tcPr>
            <w:tcW w:type="dxa" w:w="1512"/>
          </w:tcPr>
          <w:p>
            <w:pPr>
              <w:keepNext/>
              <w:spacing w:line="240" w:lineRule="auto"/>
              <w:jc w:val="center"/>
            </w:pPr>
            <w:r>
              <w:rPr>
                <w:rFonts w:ascii="바탕" w:hAnsi="바탕" w:eastAsia="바탕"/>
                <w:b/>
                <w:i w:val="0"/>
                <w:sz w:val="18"/>
              </w:rPr>
              <w:t>26.73</w:t>
            </w:r>
          </w:p>
        </w:tc>
        <w:tc>
          <w:tcPr>
            <w:tcW w:type="dxa" w:w="1512"/>
          </w:tcPr>
          <w:p>
            <w:pPr>
              <w:keepNext/>
              <w:spacing w:line="240" w:lineRule="auto"/>
              <w:jc w:val="center"/>
            </w:pPr>
            <w:r>
              <w:rPr>
                <w:rFonts w:ascii="바탕" w:hAnsi="바탕" w:eastAsia="바탕"/>
                <w:b/>
                <w:i w:val="0"/>
                <w:sz w:val="18"/>
              </w:rPr>
              <w:t>39.7배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123.7</w:t>
            </w:r>
          </w:p>
        </w:tc>
        <w:tc>
          <w:tcPr>
            <w:tcW w:type="dxa" w:w="1512"/>
          </w:tcPr>
          <w:p>
            <w:pPr>
              <w:keepNext/>
              <w:spacing w:line="240" w:lineRule="auto"/>
              <w:jc w:val="center"/>
            </w:pPr>
            <w:r>
              <w:rPr>
                <w:rFonts w:ascii="바탕" w:hAnsi="바탕" w:eastAsia="바탕"/>
                <w:b w:val="0"/>
                <w:i w:val="0"/>
                <w:sz w:val="18"/>
              </w:rPr>
              <w:t>128.2</w:t>
            </w:r>
          </w:p>
        </w:tc>
        <w:tc>
          <w:tcPr>
            <w:tcW w:type="dxa" w:w="1512"/>
          </w:tcPr>
          <w:p>
            <w:pPr>
              <w:keepNext/>
              <w:spacing w:line="240" w:lineRule="auto"/>
              <w:jc w:val="center"/>
            </w:pPr>
            <w:r>
              <w:rPr>
                <w:rFonts w:ascii="바탕" w:hAnsi="바탕" w:eastAsia="바탕"/>
                <w:b w:val="0"/>
                <w:i w:val="0"/>
                <w:sz w:val="18"/>
              </w:rPr>
              <w:t>1.412</w:t>
            </w:r>
          </w:p>
        </w:tc>
        <w:tc>
          <w:tcPr>
            <w:tcW w:type="dxa" w:w="1512"/>
          </w:tcPr>
          <w:p>
            <w:pPr>
              <w:keepNext/>
              <w:spacing w:line="240" w:lineRule="auto"/>
              <w:jc w:val="center"/>
            </w:pPr>
            <w:r>
              <w:rPr>
                <w:rFonts w:ascii="바탕" w:hAnsi="바탕" w:eastAsia="바탕"/>
                <w:b w:val="0"/>
                <w:i w:val="0"/>
                <w:sz w:val="18"/>
              </w:rPr>
              <w:t>1.362</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