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이것이 최적해인지 탐험 실패인지를 가르기 위해 비용을 학습 도중에 켜는 대조 조건을 함께 실험하였다. [실험 대기 — 결과 나오면 확정]</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조밀하고, 고정 규칙은 착륙만 시킬 뿐 점수가 낮다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두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spacing w:line="480" w:lineRule="auto" w:before="0" w:after="0"/>
        <w:ind w:firstLine="200"/>
        <w:jc w:val="both"/>
      </w:pPr>
      <w:r>
        <w:rPr>
          <w:rFonts w:ascii="바탕" w:hAnsi="바탕" w:eastAsia="바탕"/>
          <w:b w:val="0"/>
          <w:i w:val="0"/>
          <w:sz w:val="20"/>
        </w:rPr>
        <w:t xml:space="preserve">같은 설정·같은 시드로 다시 돌려 대조한 결과, 학습 중 곡선 평가 12개 지점과 최종 평가 150 에피소드의 모든 지표가 </w:t>
      </w:r>
      <w:r>
        <w:rPr>
          <w:rFonts w:ascii="바탕" w:hAnsi="바탕" w:eastAsia="바탕"/>
          <w:b/>
          <w:i w:val="0"/>
          <w:sz w:val="20"/>
        </w:rPr>
        <w:t>소수점 아래 9자리까지 일치</w:t>
      </w:r>
      <w:r>
        <w:rPr>
          <w:rFonts w:ascii="바탕" w:hAnsi="바탕" w:eastAsia="바탕"/>
          <w:b w:val="0"/>
          <w:i w:val="0"/>
          <w:sz w:val="20"/>
        </w:rPr>
        <w:t>했다(총보상 −131.486842, 행동 120.3회, 목표 도달률 84.0%). 소요시간만 909초 대 1,004초로 달랐는데, 이는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5</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5</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5</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 xml:space="preserve">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5~10개까지 완료된 집계다. </w:t>
      </w:r>
      <w:r>
        <w:rPr>
          <w:rFonts w:ascii="바탕" w:hAnsi="바탕" w:eastAsia="바탕"/>
          <w:b/>
          <w:i w:val="0"/>
          <w:sz w:val="20"/>
        </w:rPr>
        <w:t>아직 실험이 끝나지 않았으므로 최종 결론이 아니다.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-164 [-200, -124]</w:t>
            </w:r>
          </w:p>
        </w:tc>
        <w:tc>
          <w:tcPr>
            <w:tcW w:type="dxa" w:w="1512"/>
          </w:tcPr>
          <w:p>
            <w:pPr>
              <w:spacing w:line="240" w:lineRule="auto"/>
              <w:jc w:val="center"/>
            </w:pPr>
            <w:r>
              <w:rPr>
                <w:rFonts w:ascii="바탕" w:hAnsi="바탕" w:eastAsia="바탕"/>
                <w:b w:val="0"/>
                <w:i w:val="0"/>
                <w:sz w:val="18"/>
              </w:rPr>
              <w:t>-156 [-193, -125]</w:t>
            </w:r>
          </w:p>
        </w:tc>
        <w:tc>
          <w:tcPr>
            <w:tcW w:type="dxa" w:w="1512"/>
          </w:tcPr>
          <w:p>
            <w:pPr>
              <w:spacing w:line="240" w:lineRule="auto"/>
              <w:jc w:val="center"/>
            </w:pPr>
            <w:r>
              <w:rPr>
                <w:rFonts w:ascii="바탕" w:hAnsi="바탕" w:eastAsia="바탕"/>
                <w:b w:val="0"/>
                <w:i w:val="0"/>
                <w:sz w:val="18"/>
              </w:rPr>
              <w:t>-179 [-200, -136]</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-139 [-180, -121]</w:t>
            </w:r>
          </w:p>
        </w:tc>
        <w:tc>
          <w:tcPr>
            <w:tcW w:type="dxa" w:w="1512"/>
          </w:tcPr>
          <w:p>
            <w:pPr>
              <w:spacing w:line="240" w:lineRule="auto"/>
              <w:jc w:val="center"/>
            </w:pPr>
            <w:r>
              <w:rPr>
                <w:rFonts w:ascii="바탕" w:hAnsi="바탕" w:eastAsia="바탕"/>
                <w:b w:val="0"/>
                <w:i w:val="0"/>
                <w:sz w:val="18"/>
              </w:rPr>
              <w:t>-171 [-200, -133]</w:t>
            </w:r>
          </w:p>
        </w:tc>
        <w:tc>
          <w:tcPr>
            <w:tcW w:type="dxa" w:w="1512"/>
          </w:tcPr>
          <w:p>
            <w:pPr>
              <w:spacing w:line="240" w:lineRule="auto"/>
              <w:jc w:val="center"/>
            </w:pPr>
            <w:r>
              <w:rPr>
                <w:rFonts w:ascii="바탕" w:hAnsi="바탕" w:eastAsia="바탕"/>
                <w:b w:val="0"/>
                <w:i w:val="0"/>
                <w:sz w:val="18"/>
              </w:rPr>
              <w:t>-151 [-173, -118]</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-181 [-200, -147]</w:t>
            </w:r>
          </w:p>
        </w:tc>
        <w:tc>
          <w:tcPr>
            <w:tcW w:type="dxa" w:w="1512"/>
          </w:tcPr>
          <w:p>
            <w:pPr>
              <w:spacing w:line="240" w:lineRule="auto"/>
              <w:jc w:val="center"/>
            </w:pPr>
            <w:r>
              <w:rPr>
                <w:rFonts w:ascii="바탕" w:hAnsi="바탕" w:eastAsia="바탕"/>
                <w:b w:val="0"/>
                <w:i w:val="0"/>
                <w:sz w:val="18"/>
              </w:rPr>
              <w:t>-144 [-182, -129]</w:t>
            </w:r>
          </w:p>
        </w:tc>
        <w:tc>
          <w:tcPr>
            <w:tcW w:type="dxa" w:w="1512"/>
          </w:tcPr>
          <w:p>
            <w:pPr>
              <w:spacing w:line="240" w:lineRule="auto"/>
              <w:jc w:val="center"/>
            </w:pPr>
            <w:r>
              <w:rPr>
                <w:rFonts w:ascii="바탕" w:hAnsi="바탕" w:eastAsia="바탕"/>
                <w:b w:val="0"/>
                <w:i w:val="0"/>
                <w:sz w:val="18"/>
              </w:rPr>
              <w:t>-160 [-192,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-167 [-201, -129]</w:t>
            </w:r>
          </w:p>
        </w:tc>
        <w:tc>
          <w:tcPr>
            <w:tcW w:type="dxa" w:w="1512"/>
          </w:tcPr>
          <w:p>
            <w:pPr>
              <w:spacing w:line="240" w:lineRule="auto"/>
              <w:jc w:val="center"/>
            </w:pPr>
            <w:r>
              <w:rPr>
                <w:rFonts w:ascii="바탕" w:hAnsi="바탕" w:eastAsia="바탕"/>
                <w:b w:val="0"/>
                <w:i w:val="0"/>
                <w:sz w:val="18"/>
              </w:rPr>
              <w:t>-149 [-188, -125]</w:t>
            </w:r>
          </w:p>
        </w:tc>
        <w:tc>
          <w:tcPr>
            <w:tcW w:type="dxa" w:w="1512"/>
          </w:tcPr>
          <w:p>
            <w:pPr>
              <w:spacing w:line="240" w:lineRule="auto"/>
              <w:jc w:val="center"/>
            </w:pPr>
            <w:r>
              <w:rPr>
                <w:rFonts w:ascii="바탕" w:hAnsi="바탕" w:eastAsia="바탕"/>
                <w:b w:val="0"/>
                <w:i w:val="0"/>
                <w:sz w:val="18"/>
              </w:rPr>
              <w:t>-130 [-180, -124]</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-200 [-201, -189]</w:t>
            </w:r>
          </w:p>
        </w:tc>
        <w:tc>
          <w:tcPr>
            <w:tcW w:type="dxa" w:w="1512"/>
          </w:tcPr>
          <w:p>
            <w:pPr>
              <w:spacing w:line="240" w:lineRule="auto"/>
              <w:jc w:val="center"/>
            </w:pPr>
            <w:r>
              <w:rPr>
                <w:rFonts w:ascii="바탕" w:hAnsi="바탕" w:eastAsia="바탕"/>
                <w:b w:val="0"/>
                <w:i w:val="0"/>
                <w:sz w:val="18"/>
              </w:rPr>
              <w:t>-181 [-200, -156]</w:t>
            </w:r>
          </w:p>
        </w:tc>
        <w:tc>
          <w:tcPr>
            <w:tcW w:type="dxa" w:w="1512"/>
          </w:tcPr>
          <w:p>
            <w:pPr>
              <w:spacing w:line="240" w:lineRule="auto"/>
              <w:jc w:val="center"/>
            </w:pPr>
            <w:r>
              <w:rPr>
                <w:rFonts w:ascii="바탕" w:hAnsi="바탕" w:eastAsia="바탕"/>
                <w:b w:val="0"/>
                <w:i w:val="0"/>
                <w:sz w:val="18"/>
              </w:rPr>
              <w:t>-200 [-201, -156]</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124</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150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130</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102</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148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126</w:t>
            </w:r>
          </w:p>
        </w:tc>
        <w:tc>
          <w:tcPr>
            <w:tcW w:type="dxa" w:w="1512"/>
          </w:tcPr>
          <w:p>
            <w:pPr>
              <w:spacing w:line="240" w:lineRule="auto"/>
              <w:jc w:val="center"/>
            </w:pPr>
            <w:r>
              <w:rPr>
                <w:rFonts w:ascii="바탕" w:hAnsi="바탕" w:eastAsia="바탕"/>
                <w:b w:val="0"/>
                <w:i w:val="0"/>
                <w:sz w:val="18"/>
              </w:rPr>
              <w:t>127</w:t>
            </w:r>
          </w:p>
        </w:tc>
        <w:tc>
          <w:tcPr>
            <w:tcW w:type="dxa" w:w="1512"/>
          </w:tcPr>
          <w:p>
            <w:pPr>
              <w:spacing w:line="240" w:lineRule="auto"/>
              <w:jc w:val="center"/>
            </w:pPr>
            <w:r>
              <w:rPr>
                <w:rFonts w:ascii="바탕" w:hAnsi="바탕" w:eastAsia="바탕"/>
                <w:b w:val="0"/>
                <w:i w:val="0"/>
                <w:sz w:val="18"/>
              </w:rPr>
              <w:t>122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124</w:t>
            </w:r>
          </w:p>
        </w:tc>
        <w:tc>
          <w:tcPr>
            <w:tcW w:type="dxa" w:w="1512"/>
          </w:tcPr>
          <w:p>
            <w:pPr>
              <w:spacing w:line="240" w:lineRule="auto"/>
              <w:jc w:val="center"/>
            </w:pPr>
            <w:r>
              <w:rPr>
                <w:rFonts w:ascii="바탕" w:hAnsi="바탕" w:eastAsia="바탕"/>
                <w:b w:val="0"/>
                <w:i w:val="0"/>
                <w:sz w:val="18"/>
              </w:rPr>
              <w:t>66</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341</w:t>
            </w:r>
          </w:p>
        </w:tc>
        <w:tc>
          <w:tcPr>
            <w:tcW w:type="dxa" w:w="1296"/>
          </w:tcPr>
          <w:p>
            <w:pPr>
              <w:spacing w:line="240" w:lineRule="auto"/>
              <w:jc w:val="center"/>
            </w:pPr>
            <w:r>
              <w:rPr>
                <w:rFonts w:ascii="바탕" w:hAnsi="바탕" w:eastAsia="바탕"/>
                <w:b w:val="0"/>
                <w:i w:val="0"/>
                <w:sz w:val="18"/>
              </w:rPr>
              <w:t>406</w:t>
            </w:r>
          </w:p>
        </w:tc>
        <w:tc>
          <w:tcPr>
            <w:tcW w:type="dxa" w:w="1296"/>
          </w:tcPr>
          <w:p>
            <w:pPr>
              <w:spacing w:line="240" w:lineRule="auto"/>
              <w:jc w:val="center"/>
            </w:pPr>
            <w:r>
              <w:rPr>
                <w:rFonts w:ascii="바탕" w:hAnsi="바탕" w:eastAsia="바탕"/>
                <w:b w:val="0"/>
                <w:i w:val="0"/>
                <w:sz w:val="18"/>
              </w:rPr>
              <w:t>247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w:t>
            </w:r>
          </w:p>
        </w:tc>
        <w:tc>
          <w:tcPr>
            <w:tcW w:type="dxa" w:w="1296"/>
          </w:tcPr>
          <w:p>
            <w:pPr>
              <w:spacing w:line="240" w:lineRule="auto"/>
              <w:jc w:val="center"/>
            </w:pPr>
            <w:r>
              <w:rPr>
                <w:rFonts w:ascii="바탕" w:hAnsi="바탕" w:eastAsia="바탕"/>
                <w:b w:val="0"/>
                <w:i w:val="0"/>
                <w:sz w:val="18"/>
              </w:rPr>
              <w:t>393</w:t>
            </w:r>
          </w:p>
        </w:tc>
        <w:tc>
          <w:tcPr>
            <w:tcW w:type="dxa" w:w="1296"/>
          </w:tcPr>
          <w:p>
            <w:pPr>
              <w:spacing w:line="240" w:lineRule="auto"/>
              <w:jc w:val="center"/>
            </w:pPr>
            <w:r>
              <w:rPr>
                <w:rFonts w:ascii="바탕" w:hAnsi="바탕" w:eastAsia="바탕"/>
                <w:b w:val="0"/>
                <w:i w:val="0"/>
                <w:sz w:val="18"/>
              </w:rPr>
              <w:t>184</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177</w:t>
            </w:r>
          </w:p>
        </w:tc>
        <w:tc>
          <w:tcPr>
            <w:tcW w:type="dxa" w:w="1296"/>
          </w:tcPr>
          <w:p>
            <w:pPr>
              <w:spacing w:line="240" w:lineRule="auto"/>
              <w:jc w:val="center"/>
            </w:pPr>
            <w:r>
              <w:rPr>
                <w:rFonts w:ascii="바탕" w:hAnsi="바탕" w:eastAsia="바탕"/>
                <w:b w:val="0"/>
                <w:i w:val="0"/>
                <w:sz w:val="18"/>
              </w:rPr>
              <w:t>261</w:t>
            </w:r>
          </w:p>
        </w:tc>
        <w:tc>
          <w:tcPr>
            <w:tcW w:type="dxa" w:w="1296"/>
          </w:tcPr>
          <w:p>
            <w:pPr>
              <w:spacing w:line="240" w:lineRule="auto"/>
              <w:jc w:val="center"/>
            </w:pPr>
            <w:r>
              <w:rPr>
                <w:rFonts w:ascii="바탕" w:hAnsi="바탕" w:eastAsia="바탕"/>
                <w:b w:val="0"/>
                <w:i w:val="0"/>
                <w:sz w:val="18"/>
              </w:rPr>
              <w:t>151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w:t>
            </w:r>
          </w:p>
        </w:tc>
        <w:tc>
          <w:tcPr>
            <w:tcW w:type="dxa" w:w="1296"/>
          </w:tcPr>
          <w:p>
            <w:pPr>
              <w:spacing w:line="240" w:lineRule="auto"/>
              <w:jc w:val="center"/>
            </w:pPr>
            <w:r>
              <w:rPr>
                <w:rFonts w:ascii="바탕" w:hAnsi="바탕" w:eastAsia="바탕"/>
                <w:b w:val="0"/>
                <w:i w:val="0"/>
                <w:sz w:val="18"/>
              </w:rPr>
              <w:t>210</w:t>
            </w:r>
          </w:p>
        </w:tc>
        <w:tc>
          <w:tcPr>
            <w:tcW w:type="dxa" w:w="1296"/>
          </w:tcPr>
          <w:p>
            <w:pPr>
              <w:spacing w:line="240" w:lineRule="auto"/>
              <w:jc w:val="center"/>
            </w:pPr>
            <w:r>
              <w:rPr>
                <w:rFonts w:ascii="바탕" w:hAnsi="바탕" w:eastAsia="바탕"/>
                <w:b w:val="0"/>
                <w:i w:val="0"/>
                <w:sz w:val="18"/>
              </w:rPr>
              <w:t>139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149</w:t>
            </w:r>
          </w:p>
        </w:tc>
        <w:tc>
          <w:tcPr>
            <w:tcW w:type="dxa" w:w="1296"/>
          </w:tcPr>
          <w:p>
            <w:pPr>
              <w:spacing w:line="240" w:lineRule="auto"/>
              <w:jc w:val="center"/>
            </w:pPr>
            <w:r>
              <w:rPr>
                <w:rFonts w:ascii="바탕" w:hAnsi="바탕" w:eastAsia="바탕"/>
                <w:b w:val="0"/>
                <w:i w:val="0"/>
                <w:sz w:val="18"/>
              </w:rPr>
              <w:t>135</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112</w:t>
            </w:r>
          </w:p>
        </w:tc>
        <w:tc>
          <w:tcPr>
            <w:tcW w:type="dxa" w:w="1296"/>
          </w:tcPr>
          <w:p>
            <w:pPr>
              <w:spacing w:line="240" w:lineRule="auto"/>
              <w:jc w:val="center"/>
            </w:pPr>
            <w:r>
              <w:rPr>
                <w:rFonts w:ascii="바탕" w:hAnsi="바탕" w:eastAsia="바탕"/>
                <w:b w:val="0"/>
                <w:i w:val="0"/>
                <w:sz w:val="18"/>
              </w:rPr>
              <w:t>113</w:t>
            </w:r>
          </w:p>
        </w:tc>
        <w:tc>
          <w:tcPr>
            <w:tcW w:type="dxa" w:w="1296"/>
          </w:tcPr>
          <w:p>
            <w:pPr>
              <w:spacing w:line="240" w:lineRule="auto"/>
              <w:jc w:val="center"/>
            </w:pPr>
            <w:r>
              <w:rPr>
                <w:rFonts w:ascii="바탕" w:hAnsi="바탕" w:eastAsia="바탕"/>
                <w:b w:val="0"/>
                <w:i w:val="0"/>
                <w:sz w:val="18"/>
              </w:rPr>
              <w:t>118</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w:t>
            </w:r>
          </w:p>
        </w:tc>
        <w:tc>
          <w:tcPr>
            <w:tcW w:type="dxa" w:w="1296"/>
          </w:tcPr>
          <w:p>
            <w:pPr>
              <w:spacing w:line="240" w:lineRule="auto"/>
              <w:jc w:val="center"/>
            </w:pPr>
            <w:r>
              <w:rPr>
                <w:rFonts w:ascii="바탕" w:hAnsi="바탕" w:eastAsia="바탕"/>
                <w:b w:val="0"/>
                <w:i w:val="0"/>
                <w:sz w:val="18"/>
              </w:rPr>
              <w:t>98</w:t>
            </w:r>
          </w:p>
        </w:tc>
        <w:tc>
          <w:tcPr>
            <w:tcW w:type="dxa" w:w="1296"/>
          </w:tcPr>
          <w:p>
            <w:pPr>
              <w:spacing w:line="240" w:lineRule="auto"/>
              <w:jc w:val="center"/>
            </w:pPr>
            <w:r>
              <w:rPr>
                <w:rFonts w:ascii="바탕" w:hAnsi="바탕" w:eastAsia="바탕"/>
                <w:b w:val="0"/>
                <w:i w:val="0"/>
                <w:sz w:val="18"/>
              </w:rPr>
              <w:t>37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w:t>
      </w:r>
    </w:p>
    <w:p>
      <w:pPr>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DEDED"/>
          </w:tcPr>
          <w:p>
            <w:pPr>
              <w:spacing w:line="240" w:lineRule="auto"/>
              <w:jc w:val="center"/>
            </w:pPr>
            <w:r/>
            <w:r>
              <w:rPr>
                <w:rFonts w:ascii="맑은 고딕" w:hAnsi="맑은 고딕" w:eastAsia="맑은 고딕"/>
                <w:b/>
                <w:i w:val="0"/>
                <w:sz w:val="18"/>
              </w:rPr>
              <w:t>계열</w:t>
            </w:r>
          </w:p>
        </w:tc>
        <w:tc>
          <w:tcPr>
            <w:tcW w:type="dxa" w:w="1814"/>
            <w:shd w:val="clear" w:color="auto" w:fill="EDEDED"/>
          </w:tcPr>
          <w:p>
            <w:pPr>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spacing w:line="240" w:lineRule="auto"/>
              <w:jc w:val="center"/>
            </w:pPr>
            <w:r/>
            <w:r>
              <w:rPr>
                <w:rFonts w:ascii="맑은 고딕" w:hAnsi="맑은 고딕" w:eastAsia="맑은 고딕"/>
                <w:b/>
                <w:i w:val="0"/>
                <w:sz w:val="18"/>
              </w:rPr>
              <w:t>λ=0 기준값</w:t>
            </w:r>
          </w:p>
        </w:tc>
      </w:tr>
      <w:tr>
        <w:tc>
          <w:tcPr>
            <w:tcW w:type="dxa" w:w="1814"/>
          </w:tcPr>
          <w:p>
            <w:pPr>
              <w:spacing w:line="240" w:lineRule="auto"/>
              <w:jc w:val="left"/>
            </w:pPr>
            <w:r>
              <w:rPr>
                <w:rFonts w:ascii="바탕" w:hAnsi="바탕" w:eastAsia="바탕"/>
                <w:b w:val="0"/>
                <w:i w:val="0"/>
                <w:sz w:val="18"/>
              </w:rPr>
              <w:t>표준 DQN</w:t>
            </w:r>
          </w:p>
        </w:tc>
        <w:tc>
          <w:tcPr>
            <w:tcW w:type="dxa" w:w="1814"/>
          </w:tcPr>
          <w:p>
            <w:pPr>
              <w:spacing w:line="240" w:lineRule="auto"/>
              <w:jc w:val="center"/>
            </w:pPr>
            <w:r>
              <w:rPr>
                <w:rFonts w:ascii="바탕" w:hAnsi="바탕" w:eastAsia="바탕"/>
                <w:b w:val="0"/>
                <w:i w:val="0"/>
                <w:sz w:val="18"/>
              </w:rPr>
              <w:t>0.003</w:t>
            </w:r>
          </w:p>
        </w:tc>
        <w:tc>
          <w:tcPr>
            <w:tcW w:type="dxa" w:w="1814"/>
          </w:tcPr>
          <w:p>
            <w:pPr>
              <w:spacing w:line="240" w:lineRule="auto"/>
              <w:jc w:val="center"/>
            </w:pPr>
            <w:r>
              <w:rPr>
                <w:rFonts w:ascii="바탕" w:hAnsi="바탕" w:eastAsia="바탕"/>
                <w:b w:val="0"/>
                <w:i w:val="0"/>
                <w:sz w:val="18"/>
              </w:rPr>
              <w:t>0.01</w:t>
            </w:r>
          </w:p>
        </w:tc>
        <w:tc>
          <w:tcPr>
            <w:tcW w:type="dxa" w:w="1814"/>
          </w:tcPr>
          <w:p>
            <w:pPr>
              <w:spacing w:line="240" w:lineRule="auto"/>
              <w:jc w:val="center"/>
            </w:pPr>
            <w:r>
              <w:rPr>
                <w:rFonts w:ascii="바탕" w:hAnsi="바탕" w:eastAsia="바탕"/>
                <w:b w:val="0"/>
                <w:i w:val="0"/>
                <w:sz w:val="18"/>
              </w:rPr>
              <w:t>0.03</w:t>
            </w:r>
          </w:p>
        </w:tc>
        <w:tc>
          <w:tcPr>
            <w:tcW w:type="dxa" w:w="1814"/>
          </w:tcPr>
          <w:p>
            <w:pPr>
              <w:spacing w:line="240" w:lineRule="auto"/>
              <w:jc w:val="center"/>
            </w:pPr>
            <w:r>
              <w:rPr>
                <w:rFonts w:ascii="바탕" w:hAnsi="바탕" w:eastAsia="바탕"/>
                <w:b w:val="0"/>
                <w:i w:val="0"/>
                <w:sz w:val="18"/>
              </w:rPr>
              <w:t>141회 / 62%</w:t>
            </w:r>
          </w:p>
        </w:tc>
      </w:tr>
      <w:tr>
        <w:tc>
          <w:tcPr>
            <w:tcW w:type="dxa" w:w="1814"/>
          </w:tcPr>
          <w:p>
            <w:pPr>
              <w:spacing w:line="240" w:lineRule="auto"/>
              <w:jc w:val="left"/>
            </w:pPr>
            <w:r>
              <w:rPr>
                <w:rFonts w:ascii="바탕" w:hAnsi="바탕" w:eastAsia="바탕"/>
                <w:b w:val="0"/>
                <w:i w:val="0"/>
                <w:sz w:val="18"/>
              </w:rPr>
              <w:t>TempoRL</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0.01</w:t>
            </w:r>
          </w:p>
        </w:tc>
        <w:tc>
          <w:tcPr>
            <w:tcW w:type="dxa" w:w="1814"/>
          </w:tcPr>
          <w:p>
            <w:pPr>
              <w:spacing w:line="240" w:lineRule="auto"/>
              <w:jc w:val="center"/>
            </w:pPr>
            <w:r>
              <w:rPr>
                <w:rFonts w:ascii="바탕" w:hAnsi="바탕" w:eastAsia="바탕"/>
                <w:b w:val="0"/>
                <w:i w:val="0"/>
                <w:sz w:val="18"/>
              </w:rPr>
              <w:t>0.03</w:t>
            </w:r>
          </w:p>
        </w:tc>
        <w:tc>
          <w:tcPr>
            <w:tcW w:type="dxa" w:w="1814"/>
          </w:tcPr>
          <w:p>
            <w:pPr>
              <w:spacing w:line="240" w:lineRule="auto"/>
              <w:jc w:val="center"/>
            </w:pPr>
            <w:r>
              <w:rPr>
                <w:rFonts w:ascii="바탕" w:hAnsi="바탕" w:eastAsia="바탕"/>
                <w:b w:val="0"/>
                <w:i w:val="0"/>
                <w:sz w:val="18"/>
              </w:rPr>
              <w:t>123회 / 86%</w:t>
            </w:r>
          </w:p>
        </w:tc>
      </w:tr>
      <w:t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0.001</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spacing w:line="480" w:lineRule="auto" w:before="0" w:after="0"/>
        <w:ind w:firstLine="200"/>
        <w:jc w:val="both"/>
      </w:pPr>
      <w:r>
        <w:rPr>
          <w:rFonts w:ascii="바탕" w:hAnsi="바탕" w:eastAsia="바탕"/>
          <w:b w:val="0"/>
          <w:i w:val="0"/>
          <w:sz w:val="20"/>
        </w:rPr>
        <w:t>이 문턱들은 에피소드 보상 규모에 견주면 매우 작다. MountainCar의 한 에피소드 보상은 −200에서 −120 사이인데, 행동 1번의 값이 그 1% 수준만 되어도 학습은 행동을 포기한다.</w:t>
      </w:r>
    </w:p>
    <w:p>
      <w:pPr>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8. 공정성 점검 — 비용이 없을 때(λ=0) 학습은 그 환경의 규칙 수준에 닿는가</w:t>
      </w:r>
    </w:p>
    <w:p>
      <w:pPr>
        <w:spacing w:line="276" w:lineRule="auto" w:before="0" w:after="60"/>
        <w:jc w:val="center"/>
      </w:pPr>
      <w:r>
        <w:rPr>
          <w:rFonts w:ascii="맑은 고딕" w:hAnsi="맑은 고딕" w:eastAsia="맑은 고딕"/>
          <w:b w:val="0"/>
          <w:i/>
          <w:sz w:val="18"/>
        </w:rPr>
        <w:t>Table 8.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35.8</w:t>
            </w:r>
          </w:p>
        </w:tc>
        <w:tc>
          <w:tcPr>
            <w:tcW w:type="dxa" w:w="1361"/>
          </w:tcPr>
          <w:p>
            <w:pPr>
              <w:spacing w:line="240" w:lineRule="auto"/>
              <w:jc w:val="center"/>
            </w:pPr>
            <w:r>
              <w:rPr>
                <w:rFonts w:ascii="바탕" w:hAnsi="바탕" w:eastAsia="바탕"/>
                <w:b w:val="0"/>
                <w:i w:val="0"/>
                <w:sz w:val="18"/>
              </w:rPr>
              <w:t>[34.3, 37.6]</w:t>
            </w:r>
          </w:p>
        </w:tc>
        <w:tc>
          <w:tcPr>
            <w:tcW w:type="dxa" w:w="794"/>
          </w:tcPr>
          <w:p>
            <w:pPr>
              <w:spacing w:line="240" w:lineRule="auto"/>
              <w:jc w:val="center"/>
            </w:pPr>
            <w:r>
              <w:rPr>
                <w:rFonts w:ascii="바탕" w:hAnsi="바탕" w:eastAsia="바탕"/>
                <w:b/>
                <w:i w:val="0"/>
                <w:sz w:val="18"/>
              </w:rPr>
              <w:t>100%</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네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넘어서지 못했다.</w:t>
      </w:r>
    </w:p>
    <w:p>
      <w:pPr>
        <w:spacing w:line="480" w:lineRule="auto" w:before="0" w:after="0"/>
        <w:ind w:firstLine="200"/>
        <w:jc w:val="both"/>
      </w:pPr>
      <w:r>
        <w:rPr>
          <w:rFonts w:ascii="바탕" w:hAnsi="바탕" w:eastAsia="바탕"/>
          <w:b/>
          <w:i w:val="0"/>
          <w:sz w:val="20"/>
        </w:rPr>
        <w:t>넷째,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셋째,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6.2절).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spacing w:line="276" w:lineRule="auto" w:before="200" w:after="40"/>
        <w:jc w:val="center"/>
      </w:pPr>
      <w:r>
        <w:rPr>
          <w:rFonts w:ascii="맑은 고딕" w:hAnsi="맑은 고딕" w:eastAsia="맑은 고딕"/>
          <w:b/>
          <w:i w:val="0"/>
          <w:sz w:val="19"/>
        </w:rPr>
        <w:t>표 9. 비용 부과 방식을 바꾸면 λ 눈금이 얼마나 달라지는가 (고정 규칙, 100 에피소드)</w:t>
      </w:r>
    </w:p>
    <w:p>
      <w:pPr>
        <w:spacing w:line="276" w:lineRule="auto" w:before="0" w:after="60"/>
        <w:jc w:val="center"/>
      </w:pPr>
      <w:r>
        <w:rPr>
          <w:rFonts w:ascii="맑은 고딕" w:hAnsi="맑은 고딕" w:eastAsia="맑은 고딕"/>
          <w:b w:val="0"/>
          <w:i/>
          <w:sz w:val="18"/>
        </w:rPr>
        <w:t>Table 9. How the λ scale shifts when the cost model changes (fixed rules,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 / 규칙</w:t>
            </w:r>
          </w:p>
        </w:tc>
        <w:tc>
          <w:tcPr>
            <w:tcW w:type="dxa" w:w="1512"/>
            <w:shd w:val="clear" w:color="auto" w:fill="EDEDED"/>
          </w:tcPr>
          <w:p>
            <w:pPr>
              <w:spacing w:line="240" w:lineRule="auto"/>
              <w:jc w:val="center"/>
            </w:pPr>
            <w:r/>
            <w:r>
              <w:rPr>
                <w:rFonts w:ascii="맑은 고딕" w:hAnsi="맑은 고딕" w:eastAsia="맑은 고딕"/>
                <w:b/>
                <w:i w:val="0"/>
                <w:sz w:val="18"/>
              </w:rPr>
              <w:t>매 스텝 과금</w:t>
            </w:r>
          </w:p>
        </w:tc>
        <w:tc>
          <w:tcPr>
            <w:tcW w:type="dxa" w:w="1512"/>
            <w:shd w:val="clear" w:color="auto" w:fill="EDEDED"/>
          </w:tcPr>
          <w:p>
            <w:pPr>
              <w:spacing w:line="240" w:lineRule="auto"/>
              <w:jc w:val="center"/>
            </w:pPr>
            <w:r/>
            <w:r>
              <w:rPr>
                <w:rFonts w:ascii="맑은 고딕" w:hAnsi="맑은 고딕" w:eastAsia="맑은 고딕"/>
                <w:b/>
                <w:i w:val="0"/>
                <w:sz w:val="18"/>
              </w:rPr>
              <w:t>전환 과금</w:t>
            </w:r>
          </w:p>
        </w:tc>
        <w:tc>
          <w:tcPr>
            <w:tcW w:type="dxa" w:w="1512"/>
            <w:shd w:val="clear" w:color="auto" w:fill="EDEDED"/>
          </w:tcPr>
          <w:p>
            <w:pPr>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spacing w:line="240" w:lineRule="auto"/>
              <w:jc w:val="center"/>
            </w:pPr>
            <w:r/>
            <w:r>
              <w:rPr>
                <w:rFonts w:ascii="맑은 고딕" w:hAnsi="맑은 고딕" w:eastAsia="맑은 고딕"/>
                <w:b/>
                <w:i w:val="0"/>
                <w:sz w:val="18"/>
              </w:rPr>
              <w:t>λ_교차 (전환)</w:t>
            </w:r>
          </w:p>
        </w:tc>
        <w:tc>
          <w:tcPr>
            <w:tcW w:type="dxa" w:w="1512"/>
            <w:shd w:val="clear" w:color="auto" w:fill="EDEDED"/>
          </w:tcPr>
          <w:p>
            <w:pPr>
              <w:spacing w:line="240" w:lineRule="auto"/>
              <w:jc w:val="center"/>
            </w:pPr>
            <w:r/>
            <w:r>
              <w:rPr>
                <w:rFonts w:ascii="맑은 고딕" w:hAnsi="맑은 고딕" w:eastAsia="맑은 고딕"/>
                <w:b/>
                <w:i w:val="0"/>
                <w:sz w:val="18"/>
              </w:rPr>
              <w:t>배율</w:t>
            </w:r>
          </w:p>
        </w:tc>
      </w:tr>
      <w:tr>
        <w:tc>
          <w:tcPr>
            <w:tcW w:type="dxa" w:w="1512"/>
          </w:tcPr>
          <w:p>
            <w:pPr>
              <w:spacing w:line="240" w:lineRule="auto"/>
              <w:jc w:val="left"/>
            </w:pPr>
            <w:r>
              <w:rPr>
                <w:rFonts w:ascii="바탕" w:hAnsi="바탕" w:eastAsia="바탕"/>
                <w:b w:val="0"/>
                <w:i w:val="0"/>
                <w:sz w:val="18"/>
              </w:rPr>
              <w:t>MountainCar / pump</w:t>
            </w:r>
          </w:p>
        </w:tc>
        <w:tc>
          <w:tcPr>
            <w:tcW w:type="dxa" w:w="1512"/>
          </w:tcPr>
          <w:p>
            <w:pPr>
              <w:spacing w:line="240" w:lineRule="auto"/>
              <w:jc w:val="center"/>
            </w:pPr>
            <w:r>
              <w:rPr>
                <w:rFonts w:ascii="바탕" w:hAnsi="바탕" w:eastAsia="바탕"/>
                <w:b w:val="0"/>
                <w:i w:val="0"/>
                <w:sz w:val="18"/>
              </w:rPr>
              <w:t>119.2</w:t>
            </w:r>
          </w:p>
        </w:tc>
        <w:tc>
          <w:tcPr>
            <w:tcW w:type="dxa" w:w="1512"/>
          </w:tcPr>
          <w:p>
            <w:pPr>
              <w:spacing w:line="240" w:lineRule="auto"/>
              <w:jc w:val="center"/>
            </w:pPr>
            <w:r>
              <w:rPr>
                <w:rFonts w:ascii="바탕" w:hAnsi="바탕" w:eastAsia="바탕"/>
                <w:b/>
                <w:i w:val="0"/>
                <w:sz w:val="18"/>
              </w:rPr>
              <w:t>3.0</w:t>
            </w:r>
          </w:p>
        </w:tc>
        <w:tc>
          <w:tcPr>
            <w:tcW w:type="dxa" w:w="1512"/>
          </w:tcPr>
          <w:p>
            <w:pPr>
              <w:spacing w:line="240" w:lineRule="auto"/>
              <w:jc w:val="center"/>
            </w:pPr>
            <w:r>
              <w:rPr>
                <w:rFonts w:ascii="바탕" w:hAnsi="바탕" w:eastAsia="바탕"/>
                <w:b w:val="0"/>
                <w:i w:val="0"/>
                <w:sz w:val="18"/>
              </w:rPr>
              <w:t>0.673</w:t>
            </w:r>
          </w:p>
        </w:tc>
        <w:tc>
          <w:tcPr>
            <w:tcW w:type="dxa" w:w="1512"/>
          </w:tcPr>
          <w:p>
            <w:pPr>
              <w:spacing w:line="240" w:lineRule="auto"/>
              <w:jc w:val="center"/>
            </w:pPr>
            <w:r>
              <w:rPr>
                <w:rFonts w:ascii="바탕" w:hAnsi="바탕" w:eastAsia="바탕"/>
                <w:b/>
                <w:i w:val="0"/>
                <w:sz w:val="18"/>
              </w:rPr>
              <w:t>26.73</w:t>
            </w:r>
          </w:p>
        </w:tc>
        <w:tc>
          <w:tcPr>
            <w:tcW w:type="dxa" w:w="1512"/>
          </w:tcPr>
          <w:p>
            <w:pPr>
              <w:spacing w:line="240" w:lineRule="auto"/>
              <w:jc w:val="center"/>
            </w:pPr>
            <w:r>
              <w:rPr>
                <w:rFonts w:ascii="바탕" w:hAnsi="바탕" w:eastAsia="바탕"/>
                <w:b/>
                <w:i w:val="0"/>
                <w:sz w:val="18"/>
              </w:rPr>
              <w:t>39.7배</w:t>
            </w:r>
          </w:p>
        </w:tc>
      </w:tr>
      <w:tr>
        <w:tc>
          <w:tcPr>
            <w:tcW w:type="dxa" w:w="1512"/>
          </w:tcPr>
          <w:p>
            <w:pPr>
              <w:spacing w:line="240" w:lineRule="auto"/>
              <w:jc w:val="left"/>
            </w:pPr>
            <w:r>
              <w:rPr>
                <w:rFonts w:ascii="바탕" w:hAnsi="바탕" w:eastAsia="바탕"/>
                <w:b w:val="0"/>
                <w:i w:val="0"/>
                <w:sz w:val="18"/>
              </w:rPr>
              <w:t>LunarLander / 임계값</w:t>
            </w:r>
          </w:p>
        </w:tc>
        <w:tc>
          <w:tcPr>
            <w:tcW w:type="dxa" w:w="1512"/>
          </w:tcPr>
          <w:p>
            <w:pPr>
              <w:spacing w:line="240" w:lineRule="auto"/>
              <w:jc w:val="center"/>
            </w:pPr>
            <w:r>
              <w:rPr>
                <w:rFonts w:ascii="바탕" w:hAnsi="바탕" w:eastAsia="바탕"/>
                <w:b w:val="0"/>
                <w:i w:val="0"/>
                <w:sz w:val="18"/>
              </w:rPr>
              <w:t>123.7</w:t>
            </w:r>
          </w:p>
        </w:tc>
        <w:tc>
          <w:tcPr>
            <w:tcW w:type="dxa" w:w="1512"/>
          </w:tcPr>
          <w:p>
            <w:pPr>
              <w:spacing w:line="240" w:lineRule="auto"/>
              <w:jc w:val="center"/>
            </w:pPr>
            <w:r>
              <w:rPr>
                <w:rFonts w:ascii="바탕" w:hAnsi="바탕" w:eastAsia="바탕"/>
                <w:b w:val="0"/>
                <w:i w:val="0"/>
                <w:sz w:val="18"/>
              </w:rPr>
              <w:t>128.2</w:t>
            </w:r>
          </w:p>
        </w:tc>
        <w:tc>
          <w:tcPr>
            <w:tcW w:type="dxa" w:w="1512"/>
          </w:tcPr>
          <w:p>
            <w:pPr>
              <w:spacing w:line="240" w:lineRule="auto"/>
              <w:jc w:val="center"/>
            </w:pPr>
            <w:r>
              <w:rPr>
                <w:rFonts w:ascii="바탕" w:hAnsi="바탕" w:eastAsia="바탕"/>
                <w:b w:val="0"/>
                <w:i w:val="0"/>
                <w:sz w:val="18"/>
              </w:rPr>
              <w:t>1.412</w:t>
            </w:r>
          </w:p>
        </w:tc>
        <w:tc>
          <w:tcPr>
            <w:tcW w:type="dxa" w:w="1512"/>
          </w:tcPr>
          <w:p>
            <w:pPr>
              <w:spacing w:line="240" w:lineRule="auto"/>
              <w:jc w:val="center"/>
            </w:pPr>
            <w:r>
              <w:rPr>
                <w:rFonts w:ascii="바탕" w:hAnsi="바탕" w:eastAsia="바탕"/>
                <w:b w:val="0"/>
                <w:i w:val="0"/>
                <w:sz w:val="18"/>
              </w:rPr>
              <w:t>1.362</w:t>
            </w:r>
          </w:p>
        </w:tc>
        <w:tc>
          <w:tcPr>
            <w:tcW w:type="dxa" w:w="1512"/>
          </w:tcPr>
          <w:p>
            <w:pPr>
              <w:spacing w:line="240" w:lineRule="auto"/>
              <w:jc w:val="center"/>
            </w:pPr>
            <w:r>
              <w:rPr>
                <w:rFonts w:ascii="바탕" w:hAnsi="바탕" w:eastAsia="바탕"/>
                <w:b w:val="0"/>
                <w:i w:val="0"/>
                <w:sz w:val="18"/>
              </w:rPr>
              <w:t>1.0배</w:t>
            </w:r>
          </w:p>
        </w:tc>
      </w:tr>
      <w:t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299.0</w:t>
            </w:r>
          </w:p>
        </w:tc>
        <w:tc>
          <w:tcPr>
            <w:tcW w:type="dxa" w:w="1512"/>
          </w:tcPr>
          <w:p>
            <w:pPr>
              <w:spacing w:line="240" w:lineRule="auto"/>
              <w:jc w:val="center"/>
            </w:pPr>
            <w:r>
              <w:rPr>
                <w:rFonts w:ascii="바탕" w:hAnsi="바탕" w:eastAsia="바탕"/>
                <w:b/>
                <w:i w:val="0"/>
                <w:sz w:val="18"/>
              </w:rPr>
              <w:t>591.7</w:t>
            </w:r>
          </w:p>
        </w:tc>
        <w:tc>
          <w:tcPr>
            <w:tcW w:type="dxa" w:w="1512"/>
          </w:tcPr>
          <w:p>
            <w:pPr>
              <w:spacing w:line="240" w:lineRule="auto"/>
              <w:jc w:val="center"/>
            </w:pPr>
            <w:r>
              <w:rPr>
                <w:rFonts w:ascii="바탕" w:hAnsi="바탕" w:eastAsia="바탕"/>
                <w:b w:val="0"/>
                <w:i w:val="0"/>
                <w:sz w:val="18"/>
              </w:rPr>
              <w:t>0.062</w:t>
            </w:r>
          </w:p>
        </w:tc>
        <w:tc>
          <w:tcPr>
            <w:tcW w:type="dxa" w:w="1512"/>
          </w:tcPr>
          <w:p>
            <w:pPr>
              <w:spacing w:line="240" w:lineRule="auto"/>
              <w:jc w:val="center"/>
            </w:pPr>
            <w:r>
              <w:rPr>
                <w:rFonts w:ascii="바탕" w:hAnsi="바탕" w:eastAsia="바탕"/>
                <w:b/>
                <w:i w:val="0"/>
                <w:sz w:val="18"/>
              </w:rPr>
              <w:t>0.031</w:t>
            </w:r>
          </w:p>
        </w:tc>
        <w:tc>
          <w:tcPr>
            <w:tcW w:type="dxa" w:w="1512"/>
          </w:tcPr>
          <w:p>
            <w:pPr>
              <w:spacing w:line="240" w:lineRule="auto"/>
              <w:jc w:val="center"/>
            </w:pPr>
            <w:r>
              <w:rPr>
                <w:rFonts w:ascii="바탕" w:hAnsi="바탕" w:eastAsia="바탕"/>
                <w:b w:val="0"/>
                <w:i w:val="0"/>
                <w:sz w:val="18"/>
              </w:rPr>
              <w:t>0.5배</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