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두 환경에서 시드 10개·IQM·95% 계층 부트스트랩 신뢰구간으로 집계한 결과, 학습이 규칙을 더 이상 이기지 못하는 임계 비용 λ*는 두 환경에서 크게 달랐다. 즉 학습을 도입할 가치는 비용의 크기보다 보상이 조밀한지, 그리고 이미 좋은 고정 규칙이 있는지에 먼저 좌우된다. 또한 보상이 희소한 환경에서는 작은 비용만으로 학습이 무행동으로 얼어붙었고, 비용을 나중에 부과하는 대조 실험으로 이것이 최적해가 아니라 탐험 실패임을 확인하였다.</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 xml:space="preserve">모두 '아무것도 하지 않기'로 굳는 현상을 관찰했고, 이것이 비용에 따른 최적해가 아니라 </w:t>
      </w:r>
      <w:r>
        <w:rPr>
          <w:rFonts w:ascii="바탕" w:hAnsi="바탕" w:eastAsia="바탕"/>
          <w:b/>
          <w:i w:val="0"/>
          <w:sz w:val="20"/>
        </w:rPr>
        <w:t>탐험 실패</w:t>
      </w:r>
      <w:r>
        <w:rPr>
          <w:rFonts w:ascii="바탕" w:hAnsi="바탕" w:eastAsia="바탕"/>
          <w:b w:val="0"/>
          <w:i w:val="0"/>
          <w:sz w:val="20"/>
        </w:rPr>
        <w:t>임을 비용을 나중에 켜는 대조 실험으로 확인했다.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행동이 상당히 비싸질 때까지 학습이 규칙을 이겼다. 구체적인 λ* 값은 Ⅳ장 표 1에 있다.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두 환경을 함께 쓰는 이유가 있다. MountainCar는 뒤에서 보듯 </w:t>
      </w:r>
      <w:r>
        <w:rPr>
          <w:rFonts w:ascii="바탕" w:hAnsi="바탕" w:eastAsia="바탕"/>
          <w:b/>
          <w:i w:val="0"/>
          <w:sz w:val="20"/>
        </w:rPr>
        <w:t>표준 DQN이 탐험 실패로 아예 배우지 못하는</w:t>
      </w:r>
      <w:r>
        <w:rPr>
          <w:rFonts w:ascii="바탕" w:hAnsi="바탕" w:eastAsia="바탕"/>
          <w:b w:val="0"/>
          <w:i w:val="0"/>
          <w:sz w:val="20"/>
        </w:rPr>
        <w:t xml:space="preserve"> 환경이고, LunarLander는 표준 DQN이 정상적으로 학습되는 환경이다. 두 환경을 나란히 놓아야 "규칙에 진 이유가 비용 때문인가, 애초에 학습이 안 돼서인가"를 구분할 수 있다.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λ마다 그 시점에서 가장 센 고정 규칙을 골라 이은 포락선. 비용이 커지면 최강 규칙이 무행동으로 바뀌기 때문에 이 보조선을 함께 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9개(격자 9개 중) · 시드 10개까지 완료된 집계다.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341</w:t>
            </w:r>
          </w:p>
        </w:tc>
        <w:tc>
          <w:tcPr>
            <w:tcW w:type="dxa" w:w="1296"/>
          </w:tcPr>
          <w:p>
            <w:pPr>
              <w:spacing w:line="240" w:lineRule="auto"/>
              <w:jc w:val="center"/>
            </w:pPr>
            <w:r>
              <w:rPr>
                <w:rFonts w:ascii="바탕" w:hAnsi="바탕" w:eastAsia="바탕"/>
                <w:b w:val="0"/>
                <w:i w:val="0"/>
                <w:sz w:val="18"/>
              </w:rPr>
              <w:t>406</w:t>
            </w:r>
          </w:p>
        </w:tc>
        <w:tc>
          <w:tcPr>
            <w:tcW w:type="dxa" w:w="1296"/>
          </w:tcPr>
          <w:p>
            <w:pPr>
              <w:spacing w:line="240" w:lineRule="auto"/>
              <w:jc w:val="center"/>
            </w:pPr>
            <w:r>
              <w:rPr>
                <w:rFonts w:ascii="바탕" w:hAnsi="바탕" w:eastAsia="바탕"/>
                <w:b w:val="0"/>
                <w:i w:val="0"/>
                <w:sz w:val="18"/>
              </w:rPr>
              <w:t>247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w:t>
            </w:r>
          </w:p>
        </w:tc>
        <w:tc>
          <w:tcPr>
            <w:tcW w:type="dxa" w:w="1296"/>
          </w:tcPr>
          <w:p>
            <w:pPr>
              <w:spacing w:line="240" w:lineRule="auto"/>
              <w:jc w:val="center"/>
            </w:pPr>
            <w:r>
              <w:rPr>
                <w:rFonts w:ascii="바탕" w:hAnsi="바탕" w:eastAsia="바탕"/>
                <w:b w:val="0"/>
                <w:i w:val="0"/>
                <w:sz w:val="18"/>
              </w:rPr>
              <w:t>393</w:t>
            </w:r>
          </w:p>
        </w:tc>
        <w:tc>
          <w:tcPr>
            <w:tcW w:type="dxa" w:w="1296"/>
          </w:tcPr>
          <w:p>
            <w:pPr>
              <w:spacing w:line="240" w:lineRule="auto"/>
              <w:jc w:val="center"/>
            </w:pPr>
            <w:r>
              <w:rPr>
                <w:rFonts w:ascii="바탕" w:hAnsi="바탕" w:eastAsia="바탕"/>
                <w:b w:val="0"/>
                <w:i w:val="0"/>
                <w:sz w:val="18"/>
              </w:rPr>
              <w:t>184</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177</w:t>
            </w:r>
          </w:p>
        </w:tc>
        <w:tc>
          <w:tcPr>
            <w:tcW w:type="dxa" w:w="1296"/>
          </w:tcPr>
          <w:p>
            <w:pPr>
              <w:spacing w:line="240" w:lineRule="auto"/>
              <w:jc w:val="center"/>
            </w:pPr>
            <w:r>
              <w:rPr>
                <w:rFonts w:ascii="바탕" w:hAnsi="바탕" w:eastAsia="바탕"/>
                <w:b w:val="0"/>
                <w:i w:val="0"/>
                <w:sz w:val="18"/>
              </w:rPr>
              <w:t>261</w:t>
            </w:r>
          </w:p>
        </w:tc>
        <w:tc>
          <w:tcPr>
            <w:tcW w:type="dxa" w:w="1296"/>
          </w:tcPr>
          <w:p>
            <w:pPr>
              <w:spacing w:line="240" w:lineRule="auto"/>
              <w:jc w:val="center"/>
            </w:pPr>
            <w:r>
              <w:rPr>
                <w:rFonts w:ascii="바탕" w:hAnsi="바탕" w:eastAsia="바탕"/>
                <w:b w:val="0"/>
                <w:i w:val="0"/>
                <w:sz w:val="18"/>
              </w:rPr>
              <w:t>151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w:t>
            </w:r>
          </w:p>
        </w:tc>
        <w:tc>
          <w:tcPr>
            <w:tcW w:type="dxa" w:w="1296"/>
          </w:tcPr>
          <w:p>
            <w:pPr>
              <w:spacing w:line="240" w:lineRule="auto"/>
              <w:jc w:val="center"/>
            </w:pPr>
            <w:r>
              <w:rPr>
                <w:rFonts w:ascii="바탕" w:hAnsi="바탕" w:eastAsia="바탕"/>
                <w:b w:val="0"/>
                <w:i w:val="0"/>
                <w:sz w:val="18"/>
              </w:rPr>
              <w:t>210</w:t>
            </w:r>
          </w:p>
        </w:tc>
        <w:tc>
          <w:tcPr>
            <w:tcW w:type="dxa" w:w="1296"/>
          </w:tcPr>
          <w:p>
            <w:pPr>
              <w:spacing w:line="240" w:lineRule="auto"/>
              <w:jc w:val="center"/>
            </w:pPr>
            <w:r>
              <w:rPr>
                <w:rFonts w:ascii="바탕" w:hAnsi="바탕" w:eastAsia="바탕"/>
                <w:b w:val="0"/>
                <w:i w:val="0"/>
                <w:sz w:val="18"/>
              </w:rPr>
              <w:t>139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149</w:t>
            </w:r>
          </w:p>
        </w:tc>
        <w:tc>
          <w:tcPr>
            <w:tcW w:type="dxa" w:w="1296"/>
          </w:tcPr>
          <w:p>
            <w:pPr>
              <w:spacing w:line="240" w:lineRule="auto"/>
              <w:jc w:val="center"/>
            </w:pPr>
            <w:r>
              <w:rPr>
                <w:rFonts w:ascii="바탕" w:hAnsi="바탕" w:eastAsia="바탕"/>
                <w:b w:val="0"/>
                <w:i w:val="0"/>
                <w:sz w:val="18"/>
              </w:rPr>
              <w:t>135</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112</w:t>
            </w:r>
          </w:p>
        </w:tc>
        <w:tc>
          <w:tcPr>
            <w:tcW w:type="dxa" w:w="1296"/>
          </w:tcPr>
          <w:p>
            <w:pPr>
              <w:spacing w:line="240" w:lineRule="auto"/>
              <w:jc w:val="center"/>
            </w:pPr>
            <w:r>
              <w:rPr>
                <w:rFonts w:ascii="바탕" w:hAnsi="바탕" w:eastAsia="바탕"/>
                <w:b w:val="0"/>
                <w:i w:val="0"/>
                <w:sz w:val="18"/>
              </w:rPr>
              <w:t>113</w:t>
            </w:r>
          </w:p>
        </w:tc>
        <w:tc>
          <w:tcPr>
            <w:tcW w:type="dxa" w:w="1296"/>
          </w:tcPr>
          <w:p>
            <w:pPr>
              <w:spacing w:line="240" w:lineRule="auto"/>
              <w:jc w:val="center"/>
            </w:pPr>
            <w:r>
              <w:rPr>
                <w:rFonts w:ascii="바탕" w:hAnsi="바탕" w:eastAsia="바탕"/>
                <w:b w:val="0"/>
                <w:i w:val="0"/>
                <w:sz w:val="18"/>
              </w:rPr>
              <w:t>118</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w:t>
            </w:r>
          </w:p>
        </w:tc>
        <w:tc>
          <w:tcPr>
            <w:tcW w:type="dxa" w:w="1296"/>
          </w:tcPr>
          <w:p>
            <w:pPr>
              <w:spacing w:line="240" w:lineRule="auto"/>
              <w:jc w:val="center"/>
            </w:pPr>
            <w:r>
              <w:rPr>
                <w:rFonts w:ascii="바탕" w:hAnsi="바탕" w:eastAsia="바탕"/>
                <w:b w:val="0"/>
                <w:i w:val="0"/>
                <w:sz w:val="18"/>
              </w:rPr>
              <w:t>98</w:t>
            </w:r>
          </w:p>
        </w:tc>
        <w:tc>
          <w:tcPr>
            <w:tcW w:type="dxa" w:w="1296"/>
          </w:tcPr>
          <w:p>
            <w:pPr>
              <w:spacing w:line="240" w:lineRule="auto"/>
              <w:jc w:val="center"/>
            </w:pPr>
            <w:r>
              <w:rPr>
                <w:rFonts w:ascii="바탕" w:hAnsi="바탕" w:eastAsia="바탕"/>
                <w:b w:val="0"/>
                <w:i w:val="0"/>
                <w:sz w:val="18"/>
              </w:rPr>
              <w:t>37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축(linthresh=0.001)을 썼다. 왼쪽은 에피소드당 행동 횟수, 오른쪽은 목표 도달률이다.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규칙 수준에 닿는가 (MountainCar-v0)</w:t>
      </w:r>
    </w:p>
    <w:p>
      <w:pPr>
        <w:spacing w:line="276" w:lineRule="auto" w:before="0" w:after="60"/>
        <w:jc w:val="center"/>
      </w:pPr>
      <w:r>
        <w:rPr>
          <w:rFonts w:ascii="맑은 고딕" w:hAnsi="맑은 고딕" w:eastAsia="맑은 고딕"/>
          <w:b w:val="0"/>
          <w:i/>
          <w:sz w:val="18"/>
        </w:rPr>
        <w:t>Table 7. Fairness check: can learning reach rule-level performance at zero cost (λ=0) on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608"/>
            <w:shd w:val="clear" w:color="auto" w:fill="EDEDED"/>
          </w:tcPr>
          <w:p>
            <w:pPr>
              <w:spacing w:line="240" w:lineRule="auto"/>
              <w:jc w:val="center"/>
            </w:pPr>
            <w:r/>
            <w:r>
              <w:rPr>
                <w:rFonts w:ascii="맑은 고딕" w:hAnsi="맑은 고딕" w:eastAsia="맑은 고딕"/>
                <w:b/>
                <w:i w:val="0"/>
                <w:sz w:val="18"/>
              </w:rPr>
              <w:t>설정</w:t>
            </w:r>
          </w:p>
        </w:tc>
        <w:tc>
          <w:tcPr>
            <w:tcW w:type="dxa" w:w="1247"/>
            <w:shd w:val="clear" w:color="auto" w:fill="EDEDED"/>
          </w:tcPr>
          <w:p>
            <w:pPr>
              <w:spacing w:line="240" w:lineRule="auto"/>
              <w:jc w:val="center"/>
            </w:pPr>
            <w:r/>
            <w:r>
              <w:rPr>
                <w:rFonts w:ascii="맑은 고딕" w:hAnsi="맑은 고딕" w:eastAsia="맑은 고딕"/>
                <w:b/>
                <w:i w:val="0"/>
                <w:sz w:val="18"/>
              </w:rPr>
              <w:t>학습 예산</w:t>
            </w:r>
          </w:p>
        </w:tc>
        <w:tc>
          <w:tcPr>
            <w:tcW w:type="dxa" w:w="680"/>
            <w:shd w:val="clear" w:color="auto" w:fill="EDEDED"/>
          </w:tcPr>
          <w:p>
            <w:pPr>
              <w:spacing w:line="240" w:lineRule="auto"/>
              <w:jc w:val="center"/>
            </w:pPr>
            <w:r/>
            <w:r>
              <w:rPr>
                <w:rFonts w:ascii="맑은 고딕" w:hAnsi="맑은 고딕" w:eastAsia="맑은 고딕"/>
                <w:b/>
                <w:i w:val="0"/>
                <w:sz w:val="18"/>
              </w:rPr>
              <w:t>시드</w:t>
            </w:r>
          </w:p>
        </w:tc>
        <w:tc>
          <w:tcPr>
            <w:tcW w:type="dxa" w:w="1020"/>
            <w:shd w:val="clear" w:color="auto" w:fill="EDEDED"/>
          </w:tcPr>
          <w:p>
            <w:pPr>
              <w:spacing w:line="240" w:lineRule="auto"/>
              <w:jc w:val="center"/>
            </w:pPr>
            <w:r/>
            <w:r>
              <w:rPr>
                <w:rFonts w:ascii="맑은 고딕" w:hAnsi="맑은 고딕" w:eastAsia="맑은 고딕"/>
                <w:b/>
                <w:i w:val="0"/>
                <w:sz w:val="18"/>
              </w:rPr>
              <w:t>r IQM</w:t>
            </w:r>
          </w:p>
        </w:tc>
        <w:tc>
          <w:tcPr>
            <w:tcW w:type="dxa" w:w="1474"/>
            <w:shd w:val="clear" w:color="auto" w:fill="EDEDED"/>
          </w:tcPr>
          <w:p>
            <w:pPr>
              <w:spacing w:line="240" w:lineRule="auto"/>
              <w:jc w:val="center"/>
            </w:pPr>
            <w:r/>
            <w:r>
              <w:rPr>
                <w:rFonts w:ascii="맑은 고딕" w:hAnsi="맑은 고딕" w:eastAsia="맑은 고딕"/>
                <w:b/>
                <w:i w:val="0"/>
                <w:sz w:val="18"/>
              </w:rPr>
              <w:t>95% CI</w:t>
            </w:r>
          </w:p>
        </w:tc>
        <w:tc>
          <w:tcPr>
            <w:tcW w:type="dxa" w:w="1077"/>
            <w:shd w:val="clear" w:color="auto" w:fill="EDEDED"/>
          </w:tcPr>
          <w:p>
            <w:pPr>
              <w:spacing w:line="240" w:lineRule="auto"/>
              <w:jc w:val="center"/>
            </w:pPr>
            <w:r/>
            <w:r>
              <w:rPr>
                <w:rFonts w:ascii="맑은 고딕" w:hAnsi="맑은 고딕" w:eastAsia="맑은 고딕"/>
                <w:b/>
                <w:i w:val="0"/>
                <w:sz w:val="18"/>
              </w:rPr>
              <w:t>목표 도달률</w:t>
            </w:r>
          </w:p>
        </w:tc>
        <w:tc>
          <w:tcPr>
            <w:tcW w:type="dxa" w:w="964"/>
            <w:shd w:val="clear" w:color="auto" w:fill="EDEDED"/>
          </w:tcPr>
          <w:p>
            <w:pPr>
              <w:spacing w:line="240" w:lineRule="auto"/>
              <w:jc w:val="center"/>
            </w:pPr>
            <w:r/>
            <w:r>
              <w:rPr>
                <w:rFonts w:ascii="맑은 고딕" w:hAnsi="맑은 고딕" w:eastAsia="맑은 고딕"/>
                <w:b/>
                <w:i w:val="0"/>
                <w:sz w:val="18"/>
              </w:rPr>
              <w:t>행동 횟수</w:t>
            </w:r>
          </w:p>
        </w:tc>
      </w:tr>
      <w:tr>
        <w:tc>
          <w:tcPr>
            <w:tcW w:type="dxa" w:w="2608"/>
          </w:tcPr>
          <w:p>
            <w:pPr>
              <w:spacing w:line="240" w:lineRule="auto"/>
              <w:jc w:val="left"/>
            </w:pPr>
            <w:r>
              <w:rPr>
                <w:rFonts w:ascii="바탕" w:hAnsi="바탕" w:eastAsia="바탕"/>
                <w:b w:val="0"/>
                <w:i w:val="0"/>
                <w:sz w:val="18"/>
              </w:rPr>
              <w:t>본실험 설정 (ε=0.2 고정)</w:t>
            </w:r>
          </w:p>
        </w:tc>
        <w:tc>
          <w:tcPr>
            <w:tcW w:type="dxa" w:w="1247"/>
          </w:tcPr>
          <w:p>
            <w:pPr>
              <w:spacing w:line="240" w:lineRule="auto"/>
              <w:jc w:val="center"/>
            </w:pPr>
            <w:r>
              <w:rPr>
                <w:rFonts w:ascii="바탕" w:hAnsi="바탕" w:eastAsia="바탕"/>
                <w:b w:val="0"/>
                <w:i w:val="0"/>
                <w:sz w:val="18"/>
              </w:rPr>
              <w:t>300,000</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val="0"/>
                <w:i w:val="0"/>
                <w:sz w:val="18"/>
              </w:rPr>
              <w:t>-160.4</w:t>
            </w:r>
          </w:p>
        </w:tc>
        <w:tc>
          <w:tcPr>
            <w:tcW w:type="dxa" w:w="1474"/>
          </w:tcPr>
          <w:p>
            <w:pPr>
              <w:spacing w:line="240" w:lineRule="auto"/>
              <w:jc w:val="center"/>
            </w:pPr>
            <w:r>
              <w:rPr>
                <w:rFonts w:ascii="바탕" w:hAnsi="바탕" w:eastAsia="바탕"/>
                <w:b w:val="0"/>
                <w:i w:val="0"/>
                <w:sz w:val="18"/>
              </w:rPr>
              <w:t>[-179.9, -142.0]</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141</w:t>
            </w:r>
          </w:p>
        </w:tc>
      </w:tr>
      <w:tr>
        <w:tc>
          <w:tcPr>
            <w:tcW w:type="dxa" w:w="2608"/>
          </w:tcPr>
          <w:p>
            <w:pPr>
              <w:spacing w:line="240" w:lineRule="auto"/>
              <w:jc w:val="left"/>
            </w:pPr>
            <w:r>
              <w:rPr>
                <w:rFonts w:ascii="바탕" w:hAnsi="바탕" w:eastAsia="바탕"/>
                <w:b w:val="0"/>
                <w:i w:val="0"/>
                <w:sz w:val="18"/>
              </w:rPr>
              <w:t>예산 1M (ε=0.2 고정)</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4</w:t>
            </w:r>
          </w:p>
        </w:tc>
        <w:tc>
          <w:tcPr>
            <w:tcW w:type="dxa" w:w="1020"/>
          </w:tcPr>
          <w:p>
            <w:pPr>
              <w:spacing w:line="240" w:lineRule="auto"/>
              <w:jc w:val="center"/>
            </w:pPr>
            <w:r>
              <w:rPr>
                <w:rFonts w:ascii="바탕" w:hAnsi="바탕" w:eastAsia="바탕"/>
                <w:b w:val="0"/>
                <w:i w:val="0"/>
                <w:sz w:val="18"/>
              </w:rPr>
              <w:t>-151.0</w:t>
            </w:r>
          </w:p>
        </w:tc>
        <w:tc>
          <w:tcPr>
            <w:tcW w:type="dxa" w:w="1474"/>
          </w:tcPr>
          <w:p>
            <w:pPr>
              <w:spacing w:line="240" w:lineRule="auto"/>
              <w:jc w:val="center"/>
            </w:pPr>
            <w:r>
              <w:rPr>
                <w:rFonts w:ascii="바탕" w:hAnsi="바탕" w:eastAsia="바탕"/>
                <w:b w:val="0"/>
                <w:i w:val="0"/>
                <w:sz w:val="18"/>
              </w:rPr>
              <w:t>[-200.0, -128.2]</w:t>
            </w:r>
          </w:p>
        </w:tc>
        <w:tc>
          <w:tcPr>
            <w:tcW w:type="dxa" w:w="1077"/>
          </w:tcPr>
          <w:p>
            <w:pPr>
              <w:spacing w:line="240" w:lineRule="auto"/>
              <w:jc w:val="center"/>
            </w:pPr>
            <w:r>
              <w:rPr>
                <w:rFonts w:ascii="바탕" w:hAnsi="바탕" w:eastAsia="바탕"/>
                <w:b w:val="0"/>
                <w:i w:val="0"/>
                <w:sz w:val="18"/>
              </w:rPr>
              <w:t>98%</w:t>
            </w:r>
          </w:p>
        </w:tc>
        <w:tc>
          <w:tcPr>
            <w:tcW w:type="dxa" w:w="964"/>
          </w:tcPr>
          <w:p>
            <w:pPr>
              <w:spacing w:line="240" w:lineRule="auto"/>
              <w:jc w:val="center"/>
            </w:pPr>
            <w:r>
              <w:rPr>
                <w:rFonts w:ascii="바탕" w:hAnsi="바탕" w:eastAsia="바탕"/>
                <w:b w:val="0"/>
                <w:i w:val="0"/>
                <w:sz w:val="18"/>
              </w:rPr>
              <w:t>145</w:t>
            </w:r>
          </w:p>
        </w:tc>
      </w:tr>
      <w:tr>
        <w:tc>
          <w:tcPr>
            <w:tcW w:type="dxa" w:w="2608"/>
          </w:tcPr>
          <w:p>
            <w:pPr>
              <w:spacing w:line="240" w:lineRule="auto"/>
              <w:jc w:val="left"/>
            </w:pPr>
            <w:r>
              <w:rPr>
                <w:rFonts w:ascii="바탕" w:hAnsi="바탕" w:eastAsia="바탕"/>
                <w:b w:val="0"/>
                <w:i w:val="0"/>
                <w:sz w:val="18"/>
              </w:rPr>
              <w:t>예산 1M + ε 감소</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3</w:t>
            </w:r>
          </w:p>
        </w:tc>
        <w:tc>
          <w:tcPr>
            <w:tcW w:type="dxa" w:w="1020"/>
          </w:tcPr>
          <w:p>
            <w:pPr>
              <w:spacing w:line="240" w:lineRule="auto"/>
              <w:jc w:val="center"/>
            </w:pPr>
            <w:r>
              <w:rPr>
                <w:rFonts w:ascii="바탕" w:hAnsi="바탕" w:eastAsia="바탕"/>
                <w:b w:val="0"/>
                <w:i w:val="0"/>
                <w:sz w:val="18"/>
              </w:rPr>
              <w:t>-168.4</w:t>
            </w:r>
          </w:p>
        </w:tc>
        <w:tc>
          <w:tcPr>
            <w:tcW w:type="dxa" w:w="1474"/>
          </w:tcPr>
          <w:p>
            <w:pPr>
              <w:spacing w:line="240" w:lineRule="auto"/>
              <w:jc w:val="center"/>
            </w:pPr>
            <w:r>
              <w:rPr>
                <w:rFonts w:ascii="바탕" w:hAnsi="바탕" w:eastAsia="바탕"/>
                <w:b w:val="0"/>
                <w:i w:val="0"/>
                <w:sz w:val="18"/>
              </w:rPr>
              <w:t>[-200.0, -149.4]</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143</w:t>
            </w:r>
          </w:p>
        </w:tc>
      </w:tr>
      <w:tr>
        <w:tc>
          <w:tcPr>
            <w:tcW w:type="dxa" w:w="2608"/>
          </w:tcPr>
          <w:p>
            <w:pPr>
              <w:spacing w:line="240" w:lineRule="auto"/>
              <w:jc w:val="left"/>
            </w:pPr>
            <w:r>
              <w:rPr>
                <w:rFonts w:ascii="바탕" w:hAnsi="바탕" w:eastAsia="바탕"/>
                <w:b w:val="0"/>
                <w:i w:val="0"/>
                <w:sz w:val="18"/>
              </w:rPr>
              <w:t>예산 1M + ε 감소 + 용량 확대</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3</w:t>
            </w:r>
          </w:p>
        </w:tc>
        <w:tc>
          <w:tcPr>
            <w:tcW w:type="dxa" w:w="1020"/>
          </w:tcPr>
          <w:p>
            <w:pPr>
              <w:spacing w:line="240" w:lineRule="auto"/>
              <w:jc w:val="center"/>
            </w:pPr>
            <w:r>
              <w:rPr>
                <w:rFonts w:ascii="바탕" w:hAnsi="바탕" w:eastAsia="바탕"/>
                <w:b w:val="0"/>
                <w:i w:val="0"/>
                <w:sz w:val="18"/>
              </w:rPr>
              <w:t>-161.5</w:t>
            </w:r>
          </w:p>
        </w:tc>
        <w:tc>
          <w:tcPr>
            <w:tcW w:type="dxa" w:w="1474"/>
          </w:tcPr>
          <w:p>
            <w:pPr>
              <w:spacing w:line="240" w:lineRule="auto"/>
              <w:jc w:val="center"/>
            </w:pPr>
            <w:r>
              <w:rPr>
                <w:rFonts w:ascii="바탕" w:hAnsi="바탕" w:eastAsia="바탕"/>
                <w:b w:val="0"/>
                <w:i w:val="0"/>
                <w:sz w:val="18"/>
              </w:rPr>
              <w:t>[-200.0, -135.8]</w:t>
            </w:r>
          </w:p>
        </w:tc>
        <w:tc>
          <w:tcPr>
            <w:tcW w:type="dxa" w:w="1077"/>
          </w:tcPr>
          <w:p>
            <w:pPr>
              <w:spacing w:line="240" w:lineRule="auto"/>
              <w:jc w:val="center"/>
            </w:pPr>
            <w:r>
              <w:rPr>
                <w:rFonts w:ascii="바탕" w:hAnsi="바탕" w:eastAsia="바탕"/>
                <w:b w:val="0"/>
                <w:i w:val="0"/>
                <w:sz w:val="18"/>
              </w:rPr>
              <w:t>58%</w:t>
            </w:r>
          </w:p>
        </w:tc>
        <w:tc>
          <w:tcPr>
            <w:tcW w:type="dxa" w:w="964"/>
          </w:tcPr>
          <w:p>
            <w:pPr>
              <w:spacing w:line="240" w:lineRule="auto"/>
              <w:jc w:val="center"/>
            </w:pPr>
            <w:r>
              <w:rPr>
                <w:rFonts w:ascii="바탕" w:hAnsi="바탕" w:eastAsia="바탕"/>
                <w:b w:val="0"/>
                <w:i w:val="0"/>
                <w:sz w:val="18"/>
              </w:rPr>
              <w:t>129</w:t>
            </w:r>
          </w:p>
        </w:tc>
      </w:tr>
      <w:tr>
        <w:tc>
          <w:tcPr>
            <w:tcW w:type="dxa" w:w="2608"/>
          </w:tcPr>
          <w:p>
            <w:pPr>
              <w:spacing w:line="240" w:lineRule="auto"/>
              <w:jc w:val="left"/>
            </w:pPr>
            <w:r>
              <w:rPr>
                <w:rFonts w:ascii="바탕" w:hAnsi="바탕" w:eastAsia="바탕"/>
                <w:b/>
                <w:i w:val="0"/>
                <w:sz w:val="18"/>
              </w:rPr>
              <w:t>기준: pump 규칙 (학습 없음)</w:t>
            </w:r>
          </w:p>
        </w:tc>
        <w:tc>
          <w:tcPr>
            <w:tcW w:type="dxa" w:w="1247"/>
          </w:tcPr>
          <w:p>
            <w:pPr>
              <w:spacing w:line="240" w:lineRule="auto"/>
              <w:jc w:val="center"/>
            </w:pPr>
            <w:r>
              <w:rPr>
                <w:rFonts w:ascii="바탕" w:hAnsi="바탕" w:eastAsia="바탕"/>
                <w:b w:val="0"/>
                <w:i w:val="0"/>
                <w:sz w:val="18"/>
              </w:rPr>
              <w:t>—</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i w:val="0"/>
                <w:sz w:val="18"/>
              </w:rPr>
              <w:t>-119.3</w:t>
            </w:r>
          </w:p>
        </w:tc>
        <w:tc>
          <w:tcPr>
            <w:tcW w:type="dxa" w:w="1474"/>
          </w:tcPr>
          <w:p>
            <w:pPr>
              <w:spacing w:line="240" w:lineRule="auto"/>
              <w:jc w:val="center"/>
            </w:pPr>
            <w:r>
              <w:rPr>
                <w:rFonts w:ascii="바탕" w:hAnsi="바탕" w:eastAsia="바탕"/>
                <w:b w:val="0"/>
                <w:i w:val="0"/>
                <w:sz w:val="18"/>
              </w:rPr>
              <w:t>[-119.6, -119.1]</w:t>
            </w:r>
          </w:p>
        </w:tc>
        <w:tc>
          <w:tcPr>
            <w:tcW w:type="dxa" w:w="1077"/>
          </w:tcPr>
          <w:p>
            <w:pPr>
              <w:spacing w:line="240" w:lineRule="auto"/>
              <w:jc w:val="center"/>
            </w:pPr>
            <w:r>
              <w:rPr>
                <w:rFonts w:ascii="바탕" w:hAnsi="바탕" w:eastAsia="바탕"/>
                <w:b/>
                <w:i w:val="0"/>
                <w:sz w:val="18"/>
              </w:rPr>
              <w:t>100%</w:t>
            </w:r>
          </w:p>
        </w:tc>
        <w:tc>
          <w:tcPr>
            <w:tcW w:type="dxa" w:w="964"/>
          </w:tcPr>
          <w:p>
            <w:pPr>
              <w:spacing w:line="240" w:lineRule="auto"/>
              <w:jc w:val="center"/>
            </w:pPr>
            <w:r>
              <w:rPr>
                <w:rFonts w:ascii="바탕" w:hAnsi="바탕" w:eastAsia="바탕"/>
                <w:b w:val="0"/>
                <w:i w:val="0"/>
                <w:sz w:val="18"/>
              </w:rPr>
              <w:t>119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예산과 탐험 설정을 바꿔 가며 λ=0 성능을 다시 쟀다. 출처: results/aggregate/MountainCar-v0*_iqm.csv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네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넘어서지 못했다.</w:t>
      </w:r>
    </w:p>
    <w:p>
      <w:pPr>
        <w:spacing w:line="480" w:lineRule="auto" w:before="0" w:after="0"/>
        <w:ind w:firstLine="200"/>
        <w:jc w:val="both"/>
      </w:pPr>
      <w:r>
        <w:rPr>
          <w:rFonts w:ascii="바탕" w:hAnsi="바탕" w:eastAsia="바탕"/>
          <w:b/>
          <w:i w:val="0"/>
          <w:sz w:val="20"/>
        </w:rPr>
        <w:t>넷째,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셋째,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비용을 처음부터 물리지 않고 학습 도중에 켜는 대조 실험으로, 이것이 "비용을 감안하면 가만히 있는 것이 정말 최적"이라서가 아니라 </w:t>
      </w:r>
      <w:r>
        <w:rPr>
          <w:rFonts w:ascii="바탕" w:hAnsi="바탕" w:eastAsia="바탕"/>
          <w:b/>
          <w:i w:val="0"/>
          <w:sz w:val="20"/>
        </w:rPr>
        <w:t>비용 때문에 목표를 한 번도 보지 못해서</w:t>
      </w:r>
      <w:r>
        <w:rPr>
          <w:rFonts w:ascii="바탕" w:hAnsi="바탕" w:eastAsia="바탕"/>
          <w:b w:val="0"/>
          <w:i w:val="0"/>
          <w:sz w:val="20"/>
        </w:rPr>
        <w:t xml:space="preserve"> 생긴 결과임을 확인했다.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비용)에서는 행동을 오래 유지하는 TempoRL 계열이 유리해진다. 공정 비교를 지키려고 한 가지 방식으로 고정했으나, 다른 방식은 다른 지도를 그린다 — 실제로 전환 비용으로 재면 MountainCar의 pump 규칙은 에피소드당 행동 119.3회 중 방향 전환이 3.0회뿐이어서, 무행동이 규칙을 이기기 시작하는 λ가 0.67에서 26.9로 40배 커진다. 같은 환경이라도 비용을 어떻게 세느냐가 답을 바꾼다는 뜻이다.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