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두 환경에서 시드 10개·IQM·95% 계층 부트스트랩 신뢰구간으로 집계한 결과, 학습이 규칙을 더 이상 이기지 못하는 임계 비용 λ*는 두 환경에서 크게 달랐다. 즉 학습을 도입할 가치는 비용의 크기보다 보상이 조밀한지, 그리고 이미 좋은 고정 규칙이 있는지에 먼저 좌우된다. 또한 보상이 희소한 환경에서는 작은 비용만으로 학습이 무행동으로 얼어붙었고, 비용을 나중에 부과하는 대조 실험으로 이것이 최적해가 아니라 탐험 실패임을 확인하였다.</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두 환경(MountainCar-v0, LunarLander-v3)에서 λ를 격자로 훑어, 비용이</w:t>
      </w:r>
    </w:p>
    <w:p>
      <w:pPr>
        <w:spacing w:line="480" w:lineRule="auto" w:before="0" w:after="0"/>
        <w:ind w:firstLine="200"/>
        <w:jc w:val="both"/>
      </w:pPr>
      <w:r>
        <w:rPr>
          <w:rFonts w:ascii="바탕" w:hAnsi="바탕" w:eastAsia="바탕"/>
          <w:b w:val="0"/>
          <w:i w:val="0"/>
          <w:sz w:val="20"/>
        </w:rPr>
        <w:t>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 xml:space="preserve">모두 '아무것도 하지 않기'로 굳는 현상을 관찰했고, 이것이 비용에 따른 최적해가 아니라 </w:t>
      </w:r>
      <w:r>
        <w:rPr>
          <w:rFonts w:ascii="바탕" w:hAnsi="바탕" w:eastAsia="바탕"/>
          <w:b/>
          <w:i w:val="0"/>
          <w:sz w:val="20"/>
        </w:rPr>
        <w:t>탐험 실패</w:t>
      </w:r>
      <w:r>
        <w:rPr>
          <w:rFonts w:ascii="바탕" w:hAnsi="바탕" w:eastAsia="바탕"/>
          <w:b w:val="0"/>
          <w:i w:val="0"/>
          <w:sz w:val="20"/>
        </w:rPr>
        <w:t>임을 비용을 나중에 켜는 대조 실험으로 확인했다.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두 환경에서 λ*가 0과 2.0으로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이기지 못했고, 보상이 조밀한 LunarLander에서는 행동이 상당히 비싸질 때까지 학습이 규칙을 이겼다.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λ-성능 지도와 임계 비용 표, 무행동 붕괴 분석을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두 환경을 함께 쓰는 이유가 있다. MountainCar는 뒤에서 보듯 </w:t>
      </w:r>
      <w:r>
        <w:rPr>
          <w:rFonts w:ascii="바탕" w:hAnsi="바탕" w:eastAsia="바탕"/>
          <w:b/>
          <w:i w:val="0"/>
          <w:sz w:val="20"/>
        </w:rPr>
        <w:t>표준 DQN이 탐험 실패로 아예 배우지 못하는</w:t>
      </w:r>
      <w:r>
        <w:rPr>
          <w:rFonts w:ascii="바탕" w:hAnsi="바탕" w:eastAsia="바탕"/>
          <w:b w:val="0"/>
          <w:i w:val="0"/>
          <w:sz w:val="20"/>
        </w:rPr>
        <w:t xml:space="preserve"> 환경이고, LunarLander는 표준 DQN이 정상적으로 학습되는 환경이다. 두 환경을 나란히 놓아야 "규칙에 진 이유가 비용 때문인가, 애초에 학습이 안 돼서인가"를 구분할 수 있다.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λ마다 그 시점에서 가장 센 고정 규칙을 골라 이은 포락선. 비용이 커지면 최강 규칙이 무행동으로 바뀌기 때문에 이 보조선을 함께 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-160.4 [-179.9, -143.6]</w:t>
            </w:r>
          </w:p>
        </w:tc>
        <w:tc>
          <w:tcPr>
            <w:tcW w:type="dxa" w:w="1296"/>
          </w:tcPr>
          <w:p>
            <w:pPr>
              <w:spacing w:line="240" w:lineRule="auto"/>
              <w:jc w:val="center"/>
            </w:pPr>
            <w:r>
              <w:rPr>
                <w:rFonts w:ascii="바탕" w:hAnsi="바탕" w:eastAsia="바탕"/>
                <w:b w:val="0"/>
                <w:i w:val="0"/>
                <w:sz w:val="18"/>
              </w:rPr>
              <w:t>-141.4 [-156.3, -127.8]</w:t>
            </w:r>
          </w:p>
        </w:tc>
        <w:tc>
          <w:tcPr>
            <w:tcW w:type="dxa" w:w="1296"/>
          </w:tcPr>
          <w:p>
            <w:pPr>
              <w:spacing w:line="240" w:lineRule="auto"/>
              <w:jc w:val="center"/>
            </w:pPr>
            <w:r>
              <w:rPr>
                <w:rFonts w:ascii="바탕" w:hAnsi="바탕" w:eastAsia="바탕"/>
                <w:b w:val="0"/>
                <w:i w:val="0"/>
                <w:sz w:val="18"/>
              </w:rPr>
              <w:t>-127.9 [-148.3, -117.3]</w:t>
            </w:r>
          </w:p>
        </w:tc>
        <w:tc>
          <w:tcPr>
            <w:tcW w:type="dxa" w:w="1296"/>
          </w:tcPr>
          <w:p>
            <w:pPr>
              <w:spacing w:line="240" w:lineRule="auto"/>
              <w:jc w:val="center"/>
            </w:pPr>
            <w:r>
              <w:rPr>
                <w:rFonts w:ascii="바탕" w:hAnsi="바탕" w:eastAsia="바탕"/>
                <w:b w:val="0"/>
                <w:i w:val="0"/>
                <w:sz w:val="18"/>
              </w:rPr>
              <w:t>-119.3 [-119.6, -119.0]</w:t>
            </w:r>
          </w:p>
        </w:tc>
        <w:tc>
          <w:tcPr>
            <w:tcW w:type="dxa" w:w="1296"/>
          </w:tcPr>
          <w:p>
            <w:pPr>
              <w:spacing w:line="240" w:lineRule="auto"/>
              <w:jc w:val="center"/>
            </w:pPr>
            <w:r>
              <w:rPr>
                <w:rFonts w:ascii="바탕" w:hAnsi="바탕" w:eastAsia="바탕"/>
                <w:b w:val="0"/>
                <w:i w:val="0"/>
                <w:sz w:val="18"/>
              </w:rPr>
              <w:t>-119.3 [-119.6, -119.0]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-197.5 [-200.1, -181.1]</w:t>
            </w:r>
          </w:p>
        </w:tc>
        <w:tc>
          <w:tcPr>
            <w:tcW w:type="dxa" w:w="1296"/>
          </w:tcPr>
          <w:p>
            <w:pPr>
              <w:spacing w:line="240" w:lineRule="auto"/>
              <w:jc w:val="center"/>
            </w:pPr>
            <w:r>
              <w:rPr>
                <w:rFonts w:ascii="바탕" w:hAnsi="바탕" w:eastAsia="바탕"/>
                <w:b w:val="0"/>
                <w:i w:val="0"/>
                <w:sz w:val="18"/>
              </w:rPr>
              <w:t>-192.8 [-200.2, -168.3]</w:t>
            </w:r>
          </w:p>
        </w:tc>
        <w:tc>
          <w:tcPr>
            <w:tcW w:type="dxa" w:w="1296"/>
          </w:tcPr>
          <w:p>
            <w:pPr>
              <w:spacing w:line="240" w:lineRule="auto"/>
              <w:jc w:val="center"/>
            </w:pPr>
            <w:r>
              <w:rPr>
                <w:rFonts w:ascii="바탕" w:hAnsi="바탕" w:eastAsia="바탕"/>
                <w:b w:val="0"/>
                <w:i w:val="0"/>
                <w:sz w:val="18"/>
              </w:rPr>
              <w:t>-155.8 [-175.8, -133.8]</w:t>
            </w:r>
          </w:p>
        </w:tc>
        <w:tc>
          <w:tcPr>
            <w:tcW w:type="dxa" w:w="1296"/>
          </w:tcPr>
          <w:p>
            <w:pPr>
              <w:spacing w:line="240" w:lineRule="auto"/>
              <w:jc w:val="center"/>
            </w:pPr>
            <w:r>
              <w:rPr>
                <w:rFonts w:ascii="바탕" w:hAnsi="바탕" w:eastAsia="바탕"/>
                <w:b w:val="0"/>
                <w:i w:val="0"/>
                <w:sz w:val="18"/>
              </w:rPr>
              <w:t>-120.5 [-120.8, -120.2]</w:t>
            </w:r>
          </w:p>
        </w:tc>
        <w:tc>
          <w:tcPr>
            <w:tcW w:type="dxa" w:w="1296"/>
          </w:tcPr>
          <w:p>
            <w:pPr>
              <w:spacing w:line="240" w:lineRule="auto"/>
              <w:jc w:val="center"/>
            </w:pPr>
            <w:r>
              <w:rPr>
                <w:rFonts w:ascii="바탕" w:hAnsi="바탕" w:eastAsia="바탕"/>
                <w:b w:val="0"/>
                <w:i w:val="0"/>
                <w:sz w:val="18"/>
              </w:rPr>
              <w:t>-120.5 [-120.8, -120.2]</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-200.2 [-200.9, -182.6]</w:t>
            </w:r>
          </w:p>
        </w:tc>
        <w:tc>
          <w:tcPr>
            <w:tcW w:type="dxa" w:w="1296"/>
          </w:tcPr>
          <w:p>
            <w:pPr>
              <w:spacing w:line="240" w:lineRule="auto"/>
              <w:jc w:val="center"/>
            </w:pPr>
            <w:r>
              <w:rPr>
                <w:rFonts w:ascii="바탕" w:hAnsi="바탕" w:eastAsia="바탕"/>
                <w:b w:val="0"/>
                <w:i w:val="0"/>
                <w:sz w:val="18"/>
              </w:rPr>
              <w:t>-159.1 [-189.1, -127.8]</w:t>
            </w:r>
          </w:p>
        </w:tc>
        <w:tc>
          <w:tcPr>
            <w:tcW w:type="dxa" w:w="1296"/>
          </w:tcPr>
          <w:p>
            <w:pPr>
              <w:spacing w:line="240" w:lineRule="auto"/>
              <w:jc w:val="center"/>
            </w:pPr>
            <w:r>
              <w:rPr>
                <w:rFonts w:ascii="바탕" w:hAnsi="바탕" w:eastAsia="바탕"/>
                <w:b w:val="0"/>
                <w:i w:val="0"/>
                <w:sz w:val="18"/>
              </w:rPr>
              <w:t>-121.7 [-121.9, -121.4]</w:t>
            </w:r>
          </w:p>
        </w:tc>
        <w:tc>
          <w:tcPr>
            <w:tcW w:type="dxa" w:w="1296"/>
          </w:tcPr>
          <w:p>
            <w:pPr>
              <w:spacing w:line="240" w:lineRule="auto"/>
              <w:jc w:val="center"/>
            </w:pPr>
            <w:r>
              <w:rPr>
                <w:rFonts w:ascii="바탕" w:hAnsi="바탕" w:eastAsia="바탕"/>
                <w:b w:val="0"/>
                <w:i w:val="0"/>
                <w:sz w:val="18"/>
              </w:rPr>
              <w:t>-121.7 [-121.9, -121.4]</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-200.0 [-200.3, -200.0]</w:t>
            </w:r>
          </w:p>
        </w:tc>
        <w:tc>
          <w:tcPr>
            <w:tcW w:type="dxa" w:w="1296"/>
          </w:tcPr>
          <w:p>
            <w:pPr>
              <w:spacing w:line="240" w:lineRule="auto"/>
              <w:jc w:val="center"/>
            </w:pPr>
            <w:r>
              <w:rPr>
                <w:rFonts w:ascii="바탕" w:hAnsi="바탕" w:eastAsia="바탕"/>
                <w:b w:val="0"/>
                <w:i w:val="0"/>
                <w:sz w:val="18"/>
              </w:rPr>
              <w:t>-200.0 [-201.0, -200.0]</w:t>
            </w:r>
          </w:p>
        </w:tc>
        <w:tc>
          <w:tcPr>
            <w:tcW w:type="dxa" w:w="1296"/>
          </w:tcPr>
          <w:p>
            <w:pPr>
              <w:spacing w:line="240" w:lineRule="auto"/>
              <w:jc w:val="center"/>
            </w:pPr>
            <w:r>
              <w:rPr>
                <w:rFonts w:ascii="바탕" w:hAnsi="바탕" w:eastAsia="바탕"/>
                <w:b w:val="0"/>
                <w:i w:val="0"/>
                <w:sz w:val="18"/>
              </w:rPr>
              <w:t>-167.4 [-200.0, -133.0]</w:t>
            </w:r>
          </w:p>
        </w:tc>
        <w:tc>
          <w:tcPr>
            <w:tcW w:type="dxa" w:w="1296"/>
          </w:tcPr>
          <w:p>
            <w:pPr>
              <w:spacing w:line="240" w:lineRule="auto"/>
              <w:jc w:val="center"/>
            </w:pPr>
            <w:r>
              <w:rPr>
                <w:rFonts w:ascii="바탕" w:hAnsi="바탕" w:eastAsia="바탕"/>
                <w:b w:val="0"/>
                <w:i w:val="0"/>
                <w:sz w:val="18"/>
              </w:rPr>
              <w:t>-122.9 [-123.1, -122.6]</w:t>
            </w:r>
          </w:p>
        </w:tc>
        <w:tc>
          <w:tcPr>
            <w:tcW w:type="dxa" w:w="1296"/>
          </w:tcPr>
          <w:p>
            <w:pPr>
              <w:spacing w:line="240" w:lineRule="auto"/>
              <w:jc w:val="center"/>
            </w:pPr>
            <w:r>
              <w:rPr>
                <w:rFonts w:ascii="바탕" w:hAnsi="바탕" w:eastAsia="바탕"/>
                <w:b w:val="0"/>
                <w:i w:val="0"/>
                <w:sz w:val="18"/>
              </w:rPr>
              <w:t>-122.9 [-123.1, -122.6]</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-187.2 [-200.6, -157.5]</w:t>
            </w:r>
          </w:p>
        </w:tc>
        <w:tc>
          <w:tcPr>
            <w:tcW w:type="dxa" w:w="1296"/>
          </w:tcPr>
          <w:p>
            <w:pPr>
              <w:spacing w:line="240" w:lineRule="auto"/>
              <w:jc w:val="center"/>
            </w:pPr>
            <w:r>
              <w:rPr>
                <w:rFonts w:ascii="바탕" w:hAnsi="바탕" w:eastAsia="바탕"/>
                <w:b w:val="0"/>
                <w:i w:val="0"/>
                <w:sz w:val="18"/>
              </w:rPr>
              <w:t>-125.3 [-125.5, -125.0]</w:t>
            </w:r>
          </w:p>
        </w:tc>
        <w:tc>
          <w:tcPr>
            <w:tcW w:type="dxa" w:w="1296"/>
          </w:tcPr>
          <w:p>
            <w:pPr>
              <w:spacing w:line="240" w:lineRule="auto"/>
              <w:jc w:val="center"/>
            </w:pPr>
            <w:r>
              <w:rPr>
                <w:rFonts w:ascii="바탕" w:hAnsi="바탕" w:eastAsia="바탕"/>
                <w:b w:val="0"/>
                <w:i w:val="0"/>
                <w:sz w:val="18"/>
              </w:rPr>
              <w:t>-125.3 [-125.5, -125.0]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-191.5 [-200.0, -154.3]</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[-204.4, -190.6]</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[-202.0, -197.8]</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-198.1 [-198.5, -197.6]</w:t>
            </w:r>
          </w:p>
        </w:tc>
        <w:tc>
          <w:tcPr>
            <w:tcW w:type="dxa" w:w="1296"/>
          </w:tcPr>
          <w:p>
            <w:pPr>
              <w:spacing w:line="240" w:lineRule="auto"/>
              <w:jc w:val="center"/>
            </w:pPr>
            <w:r>
              <w:rPr>
                <w:rFonts w:ascii="바탕" w:hAnsi="바탕" w:eastAsia="바탕"/>
                <w:b w:val="0"/>
                <w:i w:val="0"/>
                <w:sz w:val="18"/>
              </w:rPr>
              <w:t>-198.1 [-198.5, -197.6]</w:t>
            </w:r>
          </w:p>
        </w:tc>
        <w:tc>
          <w:tcPr>
            <w:tcW w:type="dxa" w:w="1296"/>
          </w:tcPr>
          <w:p>
            <w:pPr>
              <w:spacing w:line="240" w:lineRule="auto"/>
              <w:jc w:val="center"/>
            </w:pPr>
            <w:r>
              <w:rPr>
                <w:rFonts w:ascii="바탕" w:hAnsi="바탕" w:eastAsia="바탕"/>
                <w:b w:val="0"/>
                <w:i w:val="0"/>
                <w:sz w:val="18"/>
              </w:rPr>
              <w:t>-200.0 [-200.0, -200.0]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λ=0에서도 pump 규칙을 이기지 못했다.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λ=0에서도 pump 규칙을 이기지 못했다.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λ=0에서도 pump 규칙을 이기지 못했다.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141.1</w:t>
            </w:r>
          </w:p>
        </w:tc>
        <w:tc>
          <w:tcPr>
            <w:tcW w:type="dxa" w:w="1296"/>
          </w:tcPr>
          <w:p>
            <w:pPr>
              <w:spacing w:line="240" w:lineRule="auto"/>
              <w:jc w:val="center"/>
            </w:pPr>
            <w:r>
              <w:rPr>
                <w:rFonts w:ascii="바탕" w:hAnsi="바탕" w:eastAsia="바탕"/>
                <w:b w:val="0"/>
                <w:i w:val="0"/>
                <w:sz w:val="18"/>
              </w:rPr>
              <w:t>122.6</w:t>
            </w:r>
          </w:p>
        </w:tc>
        <w:tc>
          <w:tcPr>
            <w:tcW w:type="dxa" w:w="1296"/>
          </w:tcPr>
          <w:p>
            <w:pPr>
              <w:spacing w:line="240" w:lineRule="auto"/>
              <w:jc w:val="center"/>
            </w:pPr>
            <w:r>
              <w:rPr>
                <w:rFonts w:ascii="바탕" w:hAnsi="바탕" w:eastAsia="바탕"/>
                <w:b w:val="0"/>
                <w:i w:val="0"/>
                <w:sz w:val="18"/>
              </w:rPr>
              <w:t>125.2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33.5</w:t>
            </w:r>
          </w:p>
        </w:tc>
        <w:tc>
          <w:tcPr>
            <w:tcW w:type="dxa" w:w="1296"/>
          </w:tcPr>
          <w:p>
            <w:pPr>
              <w:spacing w:line="240" w:lineRule="auto"/>
              <w:jc w:val="center"/>
            </w:pPr>
            <w:r>
              <w:rPr>
                <w:rFonts w:ascii="바탕" w:hAnsi="바탕" w:eastAsia="바탕"/>
                <w:b w:val="0"/>
                <w:i w:val="0"/>
                <w:sz w:val="18"/>
              </w:rPr>
              <w:t>55.6</w:t>
            </w:r>
          </w:p>
        </w:tc>
        <w:tc>
          <w:tcPr>
            <w:tcW w:type="dxa" w:w="1296"/>
          </w:tcPr>
          <w:p>
            <w:pPr>
              <w:spacing w:line="240" w:lineRule="auto"/>
              <w:jc w:val="center"/>
            </w:pPr>
            <w:r>
              <w:rPr>
                <w:rFonts w:ascii="바탕" w:hAnsi="바탕" w:eastAsia="바탕"/>
                <w:b w:val="0"/>
                <w:i w:val="0"/>
                <w:sz w:val="18"/>
              </w:rPr>
              <w:t>122.8</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42.5</w:t>
            </w:r>
          </w:p>
        </w:tc>
        <w:tc>
          <w:tcPr>
            <w:tcW w:type="dxa" w:w="1296"/>
          </w:tcPr>
          <w:p>
            <w:pPr>
              <w:spacing w:line="240" w:lineRule="auto"/>
              <w:jc w:val="center"/>
            </w:pPr>
            <w:r>
              <w:rPr>
                <w:rFonts w:ascii="바탕" w:hAnsi="바탕" w:eastAsia="바탕"/>
                <w:b w:val="0"/>
                <w:i w:val="0"/>
                <w:sz w:val="18"/>
              </w:rPr>
              <w:t>105.2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105.0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43.1</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17.5</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188.9 [170.6, 215.6]</w:t>
            </w:r>
          </w:p>
        </w:tc>
        <w:tc>
          <w:tcPr>
            <w:tcW w:type="dxa" w:w="1296"/>
          </w:tcPr>
          <w:p>
            <w:pPr>
              <w:spacing w:line="240" w:lineRule="auto"/>
              <w:jc w:val="center"/>
            </w:pPr>
            <w:r>
              <w:rPr>
                <w:rFonts w:ascii="바탕" w:hAnsi="바탕" w:eastAsia="바탕"/>
                <w:b w:val="0"/>
                <w:i w:val="0"/>
                <w:sz w:val="18"/>
              </w:rPr>
              <w:t>159.1 [135.0, 181.4]</w:t>
            </w:r>
          </w:p>
        </w:tc>
        <w:tc>
          <w:tcPr>
            <w:tcW w:type="dxa" w:w="1296"/>
          </w:tcPr>
          <w:p>
            <w:pPr>
              <w:spacing w:line="240" w:lineRule="auto"/>
              <w:jc w:val="center"/>
            </w:pPr>
            <w:r>
              <w:rPr>
                <w:rFonts w:ascii="바탕" w:hAnsi="바탕" w:eastAsia="바탕"/>
                <w:b w:val="0"/>
                <w:i w:val="0"/>
                <w:sz w:val="18"/>
              </w:rPr>
              <w:t>210.1 [176.5, 232.9]</w:t>
            </w:r>
          </w:p>
        </w:tc>
        <w:tc>
          <w:tcPr>
            <w:tcW w:type="dxa" w:w="1296"/>
          </w:tcPr>
          <w:p>
            <w:pPr>
              <w:spacing w:line="240" w:lineRule="auto"/>
              <w:jc w:val="center"/>
            </w:pPr>
            <w:r>
              <w:rPr>
                <w:rFonts w:ascii="바탕" w:hAnsi="바탕" w:eastAsia="바탕"/>
                <w:b w:val="0"/>
                <w:i w:val="0"/>
                <w:sz w:val="18"/>
              </w:rPr>
              <w:t>35.8 [34.5, 37.4]</w:t>
            </w:r>
          </w:p>
        </w:tc>
        <w:tc>
          <w:tcPr>
            <w:tcW w:type="dxa" w:w="1296"/>
          </w:tcPr>
          <w:p>
            <w:pPr>
              <w:spacing w:line="240" w:lineRule="auto"/>
              <w:jc w:val="center"/>
            </w:pPr>
            <w:r>
              <w:rPr>
                <w:rFonts w:ascii="바탕" w:hAnsi="바탕" w:eastAsia="바탕"/>
                <w:b w:val="0"/>
                <w:i w:val="0"/>
                <w:sz w:val="18"/>
              </w:rPr>
              <w:t>35.8 [34.5, 37.4]</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189.1 [145.8, 208.4]</w:t>
            </w:r>
          </w:p>
        </w:tc>
        <w:tc>
          <w:tcPr>
            <w:tcW w:type="dxa" w:w="1296"/>
          </w:tcPr>
          <w:p>
            <w:pPr>
              <w:spacing w:line="240" w:lineRule="auto"/>
              <w:jc w:val="center"/>
            </w:pPr>
            <w:r>
              <w:rPr>
                <w:rFonts w:ascii="바탕" w:hAnsi="바탕" w:eastAsia="바탕"/>
                <w:b w:val="0"/>
                <w:i w:val="0"/>
                <w:sz w:val="18"/>
              </w:rPr>
              <w:t>118.9 [55.2, 173.2]</w:t>
            </w:r>
          </w:p>
        </w:tc>
        <w:tc>
          <w:tcPr>
            <w:tcW w:type="dxa" w:w="1296"/>
          </w:tcPr>
          <w:p>
            <w:pPr>
              <w:spacing w:line="240" w:lineRule="auto"/>
              <w:jc w:val="center"/>
            </w:pPr>
            <w:r>
              <w:rPr>
                <w:rFonts w:ascii="바탕" w:hAnsi="바탕" w:eastAsia="바탕"/>
                <w:b w:val="0"/>
                <w:i w:val="0"/>
                <w:sz w:val="18"/>
              </w:rPr>
              <w:t>212.9 [175.7, 227.2]</w:t>
            </w:r>
          </w:p>
        </w:tc>
        <w:tc>
          <w:tcPr>
            <w:tcW w:type="dxa" w:w="1296"/>
          </w:tcPr>
          <w:p>
            <w:pPr>
              <w:spacing w:line="240" w:lineRule="auto"/>
              <w:jc w:val="center"/>
            </w:pPr>
            <w:r>
              <w:rPr>
                <w:rFonts w:ascii="바탕" w:hAnsi="바탕" w:eastAsia="바탕"/>
                <w:b w:val="0"/>
                <w:i w:val="0"/>
                <w:sz w:val="18"/>
              </w:rPr>
              <w:t>23.6 [22.4, 25.3]</w:t>
            </w:r>
          </w:p>
        </w:tc>
        <w:tc>
          <w:tcPr>
            <w:tcW w:type="dxa" w:w="1296"/>
          </w:tcPr>
          <w:p>
            <w:pPr>
              <w:spacing w:line="240" w:lineRule="auto"/>
              <w:jc w:val="center"/>
            </w:pPr>
            <w:r>
              <w:rPr>
                <w:rFonts w:ascii="바탕" w:hAnsi="바탕" w:eastAsia="바탕"/>
                <w:b w:val="0"/>
                <w:i w:val="0"/>
                <w:sz w:val="18"/>
              </w:rPr>
              <w:t>23.6 [22.4, 25.3]</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140.9 [101.4, 168.6]</w:t>
            </w:r>
          </w:p>
        </w:tc>
        <w:tc>
          <w:tcPr>
            <w:tcW w:type="dxa" w:w="1296"/>
          </w:tcPr>
          <w:p>
            <w:pPr>
              <w:spacing w:line="240" w:lineRule="auto"/>
              <w:jc w:val="center"/>
            </w:pPr>
            <w:r>
              <w:rPr>
                <w:rFonts w:ascii="바탕" w:hAnsi="바탕" w:eastAsia="바탕"/>
                <w:b w:val="0"/>
                <w:i w:val="0"/>
                <w:sz w:val="18"/>
              </w:rPr>
              <w:t>80.7 [1.4, 160.2]</w:t>
            </w:r>
          </w:p>
        </w:tc>
        <w:tc>
          <w:tcPr>
            <w:tcW w:type="dxa" w:w="1296"/>
          </w:tcPr>
          <w:p>
            <w:pPr>
              <w:spacing w:line="240" w:lineRule="auto"/>
              <w:jc w:val="center"/>
            </w:pPr>
            <w:r>
              <w:rPr>
                <w:rFonts w:ascii="바탕" w:hAnsi="바탕" w:eastAsia="바탕"/>
                <w:b w:val="0"/>
                <w:i w:val="0"/>
                <w:sz w:val="18"/>
              </w:rPr>
              <w:t>147.1 [129.5, 162.9]</w:t>
            </w:r>
          </w:p>
        </w:tc>
        <w:tc>
          <w:tcPr>
            <w:tcW w:type="dxa" w:w="1296"/>
          </w:tcPr>
          <w:p>
            <w:pPr>
              <w:spacing w:line="240" w:lineRule="auto"/>
              <w:jc w:val="center"/>
            </w:pPr>
            <w:r>
              <w:rPr>
                <w:rFonts w:ascii="바탕" w:hAnsi="바탕" w:eastAsia="바탕"/>
                <w:b w:val="0"/>
                <w:i w:val="0"/>
                <w:sz w:val="18"/>
              </w:rPr>
              <w:t>-0.7 [-2.0, 1.0]</w:t>
            </w:r>
          </w:p>
        </w:tc>
        <w:tc>
          <w:tcPr>
            <w:tcW w:type="dxa" w:w="1296"/>
          </w:tcPr>
          <w:p>
            <w:pPr>
              <w:spacing w:line="240" w:lineRule="auto"/>
              <w:jc w:val="center"/>
            </w:pPr>
            <w:r>
              <w:rPr>
                <w:rFonts w:ascii="바탕" w:hAnsi="바탕" w:eastAsia="바탕"/>
                <w:b w:val="0"/>
                <w:i w:val="0"/>
                <w:sz w:val="18"/>
              </w:rPr>
              <w:t>-0.7 [-2.0, 1.0]</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90.2 [65.9, 104.2]</w:t>
            </w:r>
          </w:p>
        </w:tc>
        <w:tc>
          <w:tcPr>
            <w:tcW w:type="dxa" w:w="1296"/>
          </w:tcPr>
          <w:p>
            <w:pPr>
              <w:spacing w:line="240" w:lineRule="auto"/>
              <w:jc w:val="center"/>
            </w:pPr>
            <w:r>
              <w:rPr>
                <w:rFonts w:ascii="바탕" w:hAnsi="바탕" w:eastAsia="바탕"/>
                <w:b w:val="0"/>
                <w:i w:val="0"/>
                <w:sz w:val="18"/>
              </w:rPr>
              <w:t>59.4 [-8.4, 131.2]</w:t>
            </w:r>
          </w:p>
        </w:tc>
        <w:tc>
          <w:tcPr>
            <w:tcW w:type="dxa" w:w="1296"/>
          </w:tcPr>
          <w:p>
            <w:pPr>
              <w:spacing w:line="240" w:lineRule="auto"/>
              <w:jc w:val="center"/>
            </w:pPr>
            <w:r>
              <w:rPr>
                <w:rFonts w:ascii="바탕" w:hAnsi="바탕" w:eastAsia="바탕"/>
                <w:b w:val="0"/>
                <w:i w:val="0"/>
                <w:sz w:val="18"/>
              </w:rPr>
              <w:t>102.9 [53.8, 141.1]</w:t>
            </w:r>
          </w:p>
        </w:tc>
        <w:tc>
          <w:tcPr>
            <w:tcW w:type="dxa" w:w="1296"/>
          </w:tcPr>
          <w:p>
            <w:pPr>
              <w:spacing w:line="240" w:lineRule="auto"/>
              <w:jc w:val="center"/>
            </w:pPr>
            <w:r>
              <w:rPr>
                <w:rFonts w:ascii="바탕" w:hAnsi="바탕" w:eastAsia="바탕"/>
                <w:b w:val="0"/>
                <w:i w:val="0"/>
                <w:sz w:val="18"/>
              </w:rPr>
              <w:t>-37.2 [-38.5, -35.4]</w:t>
            </w:r>
          </w:p>
        </w:tc>
        <w:tc>
          <w:tcPr>
            <w:tcW w:type="dxa" w:w="1296"/>
          </w:tcPr>
          <w:p>
            <w:pPr>
              <w:spacing w:line="240" w:lineRule="auto"/>
              <w:jc w:val="center"/>
            </w:pPr>
            <w:r>
              <w:rPr>
                <w:rFonts w:ascii="바탕" w:hAnsi="바탕" w:eastAsia="바탕"/>
                <w:b w:val="0"/>
                <w:i w:val="0"/>
                <w:sz w:val="18"/>
              </w:rPr>
              <w:t>-37.2 [-38.5, -35.4]</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-12.8 [-67.2, 33.8]</w:t>
            </w:r>
          </w:p>
        </w:tc>
        <w:tc>
          <w:tcPr>
            <w:tcW w:type="dxa" w:w="1296"/>
          </w:tcPr>
          <w:p>
            <w:pPr>
              <w:spacing w:line="240" w:lineRule="auto"/>
              <w:jc w:val="center"/>
            </w:pPr>
            <w:r>
              <w:rPr>
                <w:rFonts w:ascii="바탕" w:hAnsi="바탕" w:eastAsia="바탕"/>
                <w:b w:val="0"/>
                <w:i w:val="0"/>
                <w:sz w:val="18"/>
              </w:rPr>
              <w:t>-34.2 [-120.5, 20.2]</w:t>
            </w:r>
          </w:p>
        </w:tc>
        <w:tc>
          <w:tcPr>
            <w:tcW w:type="dxa" w:w="1296"/>
          </w:tcPr>
          <w:p>
            <w:pPr>
              <w:spacing w:line="240" w:lineRule="auto"/>
              <w:jc w:val="center"/>
            </w:pPr>
            <w:r>
              <w:rPr>
                <w:rFonts w:ascii="바탕" w:hAnsi="바탕" w:eastAsia="바탕"/>
                <w:b w:val="0"/>
                <w:i w:val="0"/>
                <w:sz w:val="18"/>
              </w:rPr>
              <w:t>36.8 [-39.6, 68.7]</w:t>
            </w:r>
          </w:p>
        </w:tc>
        <w:tc>
          <w:tcPr>
            <w:tcW w:type="dxa" w:w="1296"/>
          </w:tcPr>
          <w:p>
            <w:pPr>
              <w:spacing w:line="240" w:lineRule="auto"/>
              <w:jc w:val="center"/>
            </w:pPr>
            <w:r>
              <w:rPr>
                <w:rFonts w:ascii="바탕" w:hAnsi="바탕" w:eastAsia="바탕"/>
                <w:b w:val="0"/>
                <w:i w:val="0"/>
                <w:sz w:val="18"/>
              </w:rPr>
              <w:t>-85.7 [-87.1, -83.9]</w:t>
            </w:r>
          </w:p>
        </w:tc>
        <w:tc>
          <w:tcPr>
            <w:tcW w:type="dxa" w:w="1296"/>
          </w:tcPr>
          <w:p>
            <w:pPr>
              <w:spacing w:line="240" w:lineRule="auto"/>
              <w:jc w:val="center"/>
            </w:pPr>
            <w:r>
              <w:rPr>
                <w:rFonts w:ascii="바탕" w:hAnsi="바탕" w:eastAsia="바탕"/>
                <w:b w:val="0"/>
                <w:i w:val="0"/>
                <w:sz w:val="18"/>
              </w:rPr>
              <w:t>-85.7 [-87.1, -83.9]</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-60.7 [-85.7, -33.1]</w:t>
            </w:r>
          </w:p>
        </w:tc>
        <w:tc>
          <w:tcPr>
            <w:tcW w:type="dxa" w:w="1296"/>
          </w:tcPr>
          <w:p>
            <w:pPr>
              <w:spacing w:line="240" w:lineRule="auto"/>
              <w:jc w:val="center"/>
            </w:pPr>
            <w:r>
              <w:rPr>
                <w:rFonts w:ascii="바탕" w:hAnsi="바탕" w:eastAsia="바탕"/>
                <w:b w:val="0"/>
                <w:i w:val="0"/>
                <w:sz w:val="18"/>
              </w:rPr>
              <w:t>-52.2 [-93.6, -12.5]</w:t>
            </w:r>
          </w:p>
        </w:tc>
        <w:tc>
          <w:tcPr>
            <w:tcW w:type="dxa" w:w="1296"/>
          </w:tcPr>
          <w:p>
            <w:pPr>
              <w:spacing w:line="240" w:lineRule="auto"/>
              <w:jc w:val="center"/>
            </w:pPr>
            <w:r>
              <w:rPr>
                <w:rFonts w:ascii="바탕" w:hAnsi="바탕" w:eastAsia="바탕"/>
                <w:b w:val="0"/>
                <w:i w:val="0"/>
                <w:sz w:val="18"/>
              </w:rPr>
              <w:t>-47.0 [-66.5, -25.4]</w:t>
            </w:r>
          </w:p>
        </w:tc>
        <w:tc>
          <w:tcPr>
            <w:tcW w:type="dxa" w:w="1296"/>
          </w:tcPr>
          <w:p>
            <w:pPr>
              <w:spacing w:line="240" w:lineRule="auto"/>
              <w:jc w:val="center"/>
            </w:pPr>
            <w:r>
              <w:rPr>
                <w:rFonts w:ascii="바탕" w:hAnsi="바탕" w:eastAsia="바탕"/>
                <w:b w:val="0"/>
                <w:i w:val="0"/>
                <w:sz w:val="18"/>
              </w:rPr>
              <w:t>-130.5 [-132.2, -128.8]</w:t>
            </w:r>
          </w:p>
        </w:tc>
        <w:tc>
          <w:tcPr>
            <w:tcW w:type="dxa" w:w="1296"/>
          </w:tcPr>
          <w:p>
            <w:pPr>
              <w:spacing w:line="240" w:lineRule="auto"/>
              <w:jc w:val="center"/>
            </w:pPr>
            <w:r>
              <w:rPr>
                <w:rFonts w:ascii="바탕" w:hAnsi="바탕" w:eastAsia="바탕"/>
                <w:b w:val="0"/>
                <w:i w:val="0"/>
                <w:sz w:val="18"/>
              </w:rPr>
              <w:t>-130.5 [-132.2, -128.8]</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-134.4 [-150.0, -116.4]</w:t>
            </w:r>
          </w:p>
        </w:tc>
        <w:tc>
          <w:tcPr>
            <w:tcW w:type="dxa" w:w="1296"/>
          </w:tcPr>
          <w:p>
            <w:pPr>
              <w:spacing w:line="240" w:lineRule="auto"/>
              <w:jc w:val="center"/>
            </w:pPr>
            <w:r>
              <w:rPr>
                <w:rFonts w:ascii="바탕" w:hAnsi="바탕" w:eastAsia="바탕"/>
                <w:b w:val="0"/>
                <w:i w:val="0"/>
                <w:sz w:val="18"/>
              </w:rPr>
              <w:t>-153.4 [-268.2, -129.9]</w:t>
            </w:r>
          </w:p>
        </w:tc>
        <w:tc>
          <w:tcPr>
            <w:tcW w:type="dxa" w:w="1296"/>
          </w:tcPr>
          <w:p>
            <w:pPr>
              <w:spacing w:line="240" w:lineRule="auto"/>
              <w:jc w:val="center"/>
            </w:pPr>
            <w:r>
              <w:rPr>
                <w:rFonts w:ascii="바탕" w:hAnsi="바탕" w:eastAsia="바탕"/>
                <w:b w:val="0"/>
                <w:i w:val="0"/>
                <w:sz w:val="18"/>
              </w:rPr>
              <w:t>-157.4 [-226.3, -106.4]</w:t>
            </w:r>
          </w:p>
        </w:tc>
        <w:tc>
          <w:tcPr>
            <w:tcW w:type="dxa" w:w="1296"/>
          </w:tcPr>
          <w:p>
            <w:pPr>
              <w:spacing w:line="240" w:lineRule="auto"/>
              <w:jc w:val="center"/>
            </w:pPr>
            <w:r>
              <w:rPr>
                <w:rFonts w:ascii="바탕" w:hAnsi="바탕" w:eastAsia="바탕"/>
                <w:b w:val="0"/>
                <w:i w:val="0"/>
                <w:sz w:val="18"/>
              </w:rPr>
              <w:t>-206.9 [-208.8, -205.2]</w:t>
            </w:r>
          </w:p>
        </w:tc>
        <w:tc>
          <w:tcPr>
            <w:tcW w:type="dxa" w:w="1296"/>
          </w:tcPr>
          <w:p>
            <w:pPr>
              <w:spacing w:line="240" w:lineRule="auto"/>
              <w:jc w:val="center"/>
            </w:pPr>
            <w:r>
              <w:rPr>
                <w:rFonts w:ascii="바탕" w:hAnsi="바탕" w:eastAsia="바탕"/>
                <w:b w:val="0"/>
                <w:i w:val="0"/>
                <w:sz w:val="18"/>
              </w:rPr>
              <w:t>-131.3 [-133.7, -128.7]</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-209.9 [-349.1, -145.6]</w:t>
            </w:r>
          </w:p>
        </w:tc>
        <w:tc>
          <w:tcPr>
            <w:tcW w:type="dxa" w:w="1296"/>
          </w:tcPr>
          <w:p>
            <w:pPr>
              <w:spacing w:line="240" w:lineRule="auto"/>
              <w:jc w:val="center"/>
            </w:pPr>
            <w:r>
              <w:rPr>
                <w:rFonts w:ascii="바탕" w:hAnsi="바탕" w:eastAsia="바탕"/>
                <w:b w:val="0"/>
                <w:i w:val="0"/>
                <w:sz w:val="18"/>
              </w:rPr>
              <w:t>-286.0 [-333.8, -206.6]</w:t>
            </w:r>
          </w:p>
        </w:tc>
        <w:tc>
          <w:tcPr>
            <w:tcW w:type="dxa" w:w="1296"/>
          </w:tcPr>
          <w:p>
            <w:pPr>
              <w:spacing w:line="240" w:lineRule="auto"/>
              <w:jc w:val="center"/>
            </w:pPr>
            <w:r>
              <w:rPr>
                <w:rFonts w:ascii="바탕" w:hAnsi="바탕" w:eastAsia="바탕"/>
                <w:b w:val="0"/>
                <w:i w:val="0"/>
                <w:sz w:val="18"/>
              </w:rPr>
              <w:t>-174.7 [-260.8, -137.3]</w:t>
            </w:r>
          </w:p>
        </w:tc>
        <w:tc>
          <w:tcPr>
            <w:tcW w:type="dxa" w:w="1296"/>
          </w:tcPr>
          <w:p>
            <w:pPr>
              <w:spacing w:line="240" w:lineRule="auto"/>
              <w:jc w:val="center"/>
            </w:pPr>
            <w:r>
              <w:rPr>
                <w:rFonts w:ascii="바탕" w:hAnsi="바탕" w:eastAsia="바탕"/>
                <w:b w:val="0"/>
                <w:i w:val="0"/>
                <w:sz w:val="18"/>
              </w:rPr>
              <w:t>-328.1 [-330.4, -326.5]</w:t>
            </w:r>
          </w:p>
        </w:tc>
        <w:tc>
          <w:tcPr>
            <w:tcW w:type="dxa" w:w="1296"/>
          </w:tcPr>
          <w:p>
            <w:pPr>
              <w:spacing w:line="240" w:lineRule="auto"/>
              <w:jc w:val="center"/>
            </w:pPr>
            <w:r>
              <w:rPr>
                <w:rFonts w:ascii="바탕" w:hAnsi="바탕" w:eastAsia="바탕"/>
                <w:b w:val="0"/>
                <w:i w:val="0"/>
                <w:sz w:val="18"/>
              </w:rPr>
              <w:t>-131.3 [-133.7, -128.7]</w:t>
            </w:r>
          </w:p>
        </w:tc>
        <w:tc>
          <w:tcPr>
            <w:tcW w:type="dxa" w:w="1296"/>
          </w:tcPr>
          <w:p>
            <w:pPr>
              <w:spacing w:line="240" w:lineRule="auto"/>
              <w:jc w:val="center"/>
            </w:pPr>
            <w:r>
              <w:rPr>
                <w:rFonts w:ascii="바탕" w:hAnsi="바탕" w:eastAsia="바탕"/>
                <w:b w:val="0"/>
                <w:i w:val="0"/>
                <w:sz w:val="18"/>
              </w:rPr>
              <w:t>-131.3 [-133.7, -128.7]</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340.8</w:t>
            </w:r>
          </w:p>
        </w:tc>
        <w:tc>
          <w:tcPr>
            <w:tcW w:type="dxa" w:w="1296"/>
          </w:tcPr>
          <w:p>
            <w:pPr>
              <w:spacing w:line="240" w:lineRule="auto"/>
              <w:jc w:val="center"/>
            </w:pPr>
            <w:r>
              <w:rPr>
                <w:rFonts w:ascii="바탕" w:hAnsi="바탕" w:eastAsia="바탕"/>
                <w:b w:val="0"/>
                <w:i w:val="0"/>
                <w:sz w:val="18"/>
              </w:rPr>
              <w:t>406.5</w:t>
            </w:r>
          </w:p>
        </w:tc>
        <w:tc>
          <w:tcPr>
            <w:tcW w:type="dxa" w:w="1296"/>
          </w:tcPr>
          <w:p>
            <w:pPr>
              <w:spacing w:line="240" w:lineRule="auto"/>
              <w:jc w:val="center"/>
            </w:pPr>
            <w:r>
              <w:rPr>
                <w:rFonts w:ascii="바탕" w:hAnsi="바탕" w:eastAsia="바탕"/>
                <w:b w:val="0"/>
                <w:i w:val="0"/>
                <w:sz w:val="18"/>
              </w:rPr>
              <w:t>246.6</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222.5</w:t>
            </w:r>
          </w:p>
        </w:tc>
        <w:tc>
          <w:tcPr>
            <w:tcW w:type="dxa" w:w="1296"/>
          </w:tcPr>
          <w:p>
            <w:pPr>
              <w:spacing w:line="240" w:lineRule="auto"/>
              <w:jc w:val="center"/>
            </w:pPr>
            <w:r>
              <w:rPr>
                <w:rFonts w:ascii="바탕" w:hAnsi="바탕" w:eastAsia="바탕"/>
                <w:b w:val="0"/>
                <w:i w:val="0"/>
                <w:sz w:val="18"/>
              </w:rPr>
              <w:t>393.2</w:t>
            </w:r>
          </w:p>
        </w:tc>
        <w:tc>
          <w:tcPr>
            <w:tcW w:type="dxa" w:w="1296"/>
          </w:tcPr>
          <w:p>
            <w:pPr>
              <w:spacing w:line="240" w:lineRule="auto"/>
              <w:jc w:val="center"/>
            </w:pPr>
            <w:r>
              <w:rPr>
                <w:rFonts w:ascii="바탕" w:hAnsi="바탕" w:eastAsia="바탕"/>
                <w:b w:val="0"/>
                <w:i w:val="0"/>
                <w:sz w:val="18"/>
              </w:rPr>
              <w:t>183.5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176.7</w:t>
            </w:r>
          </w:p>
        </w:tc>
        <w:tc>
          <w:tcPr>
            <w:tcW w:type="dxa" w:w="1296"/>
          </w:tcPr>
          <w:p>
            <w:pPr>
              <w:spacing w:line="240" w:lineRule="auto"/>
              <w:jc w:val="center"/>
            </w:pPr>
            <w:r>
              <w:rPr>
                <w:rFonts w:ascii="바탕" w:hAnsi="바탕" w:eastAsia="바탕"/>
                <w:b w:val="0"/>
                <w:i w:val="0"/>
                <w:sz w:val="18"/>
              </w:rPr>
              <w:t>260.6</w:t>
            </w:r>
          </w:p>
        </w:tc>
        <w:tc>
          <w:tcPr>
            <w:tcW w:type="dxa" w:w="1296"/>
          </w:tcPr>
          <w:p>
            <w:pPr>
              <w:spacing w:line="240" w:lineRule="auto"/>
              <w:jc w:val="center"/>
            </w:pPr>
            <w:r>
              <w:rPr>
                <w:rFonts w:ascii="바탕" w:hAnsi="바탕" w:eastAsia="바탕"/>
                <w:b w:val="0"/>
                <w:i w:val="0"/>
                <w:sz w:val="18"/>
              </w:rPr>
              <w:t>150.8</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156.2</w:t>
            </w:r>
          </w:p>
        </w:tc>
        <w:tc>
          <w:tcPr>
            <w:tcW w:type="dxa" w:w="1296"/>
          </w:tcPr>
          <w:p>
            <w:pPr>
              <w:spacing w:line="240" w:lineRule="auto"/>
              <w:jc w:val="center"/>
            </w:pPr>
            <w:r>
              <w:rPr>
                <w:rFonts w:ascii="바탕" w:hAnsi="바탕" w:eastAsia="바탕"/>
                <w:b w:val="0"/>
                <w:i w:val="0"/>
                <w:sz w:val="18"/>
              </w:rPr>
              <w:t>210.2</w:t>
            </w:r>
          </w:p>
        </w:tc>
        <w:tc>
          <w:tcPr>
            <w:tcW w:type="dxa" w:w="1296"/>
          </w:tcPr>
          <w:p>
            <w:pPr>
              <w:spacing w:line="240" w:lineRule="auto"/>
              <w:jc w:val="center"/>
            </w:pPr>
            <w:r>
              <w:rPr>
                <w:rFonts w:ascii="바탕" w:hAnsi="바탕" w:eastAsia="바탕"/>
                <w:b w:val="0"/>
                <w:i w:val="0"/>
                <w:sz w:val="18"/>
              </w:rPr>
              <w:t>138.9</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144.0</w:t>
            </w:r>
          </w:p>
        </w:tc>
        <w:tc>
          <w:tcPr>
            <w:tcW w:type="dxa" w:w="1296"/>
          </w:tcPr>
          <w:p>
            <w:pPr>
              <w:spacing w:line="240" w:lineRule="auto"/>
              <w:jc w:val="center"/>
            </w:pPr>
            <w:r>
              <w:rPr>
                <w:rFonts w:ascii="바탕" w:hAnsi="바탕" w:eastAsia="바탕"/>
                <w:b w:val="0"/>
                <w:i w:val="0"/>
                <w:sz w:val="18"/>
              </w:rPr>
              <w:t>218.2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148.7</w:t>
            </w:r>
          </w:p>
        </w:tc>
        <w:tc>
          <w:tcPr>
            <w:tcW w:type="dxa" w:w="1296"/>
          </w:tcPr>
          <w:p>
            <w:pPr>
              <w:spacing w:line="240" w:lineRule="auto"/>
              <w:jc w:val="center"/>
            </w:pPr>
            <w:r>
              <w:rPr>
                <w:rFonts w:ascii="바탕" w:hAnsi="바탕" w:eastAsia="바탕"/>
                <w:b w:val="0"/>
                <w:i w:val="0"/>
                <w:sz w:val="18"/>
              </w:rPr>
              <w:t>135.1</w:t>
            </w:r>
          </w:p>
        </w:tc>
        <w:tc>
          <w:tcPr>
            <w:tcW w:type="dxa" w:w="1296"/>
          </w:tcPr>
          <w:p>
            <w:pPr>
              <w:spacing w:line="240" w:lineRule="auto"/>
              <w:jc w:val="center"/>
            </w:pPr>
            <w:r>
              <w:rPr>
                <w:rFonts w:ascii="바탕" w:hAnsi="바탕" w:eastAsia="바탕"/>
                <w:b w:val="0"/>
                <w:i w:val="0"/>
                <w:sz w:val="18"/>
              </w:rPr>
              <w:t>119.4</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111.7</w:t>
            </w:r>
          </w:p>
        </w:tc>
        <w:tc>
          <w:tcPr>
            <w:tcW w:type="dxa" w:w="1296"/>
          </w:tcPr>
          <w:p>
            <w:pPr>
              <w:spacing w:line="240" w:lineRule="auto"/>
              <w:jc w:val="center"/>
            </w:pPr>
            <w:r>
              <w:rPr>
                <w:rFonts w:ascii="바탕" w:hAnsi="바탕" w:eastAsia="바탕"/>
                <w:b w:val="0"/>
                <w:i w:val="0"/>
                <w:sz w:val="18"/>
              </w:rPr>
              <w:t>113.4</w:t>
            </w:r>
          </w:p>
        </w:tc>
        <w:tc>
          <w:tcPr>
            <w:tcW w:type="dxa" w:w="1296"/>
          </w:tcPr>
          <w:p>
            <w:pPr>
              <w:spacing w:line="240" w:lineRule="auto"/>
              <w:jc w:val="center"/>
            </w:pPr>
            <w:r>
              <w:rPr>
                <w:rFonts w:ascii="바탕" w:hAnsi="바탕" w:eastAsia="바탕"/>
                <w:b w:val="0"/>
                <w:i w:val="0"/>
                <w:sz w:val="18"/>
              </w:rPr>
              <w:t>118.3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63.4</w:t>
            </w:r>
          </w:p>
        </w:tc>
        <w:tc>
          <w:tcPr>
            <w:tcW w:type="dxa" w:w="1296"/>
          </w:tcPr>
          <w:p>
            <w:pPr>
              <w:spacing w:line="240" w:lineRule="auto"/>
              <w:jc w:val="center"/>
            </w:pPr>
            <w:r>
              <w:rPr>
                <w:rFonts w:ascii="바탕" w:hAnsi="바탕" w:eastAsia="바탕"/>
                <w:b w:val="0"/>
                <w:i w:val="0"/>
                <w:sz w:val="18"/>
              </w:rPr>
              <w:t>97.8</w:t>
            </w:r>
          </w:p>
        </w:tc>
        <w:tc>
          <w:tcPr>
            <w:tcW w:type="dxa" w:w="1296"/>
          </w:tcPr>
          <w:p>
            <w:pPr>
              <w:spacing w:line="240" w:lineRule="auto"/>
              <w:jc w:val="center"/>
            </w:pPr>
            <w:r>
              <w:rPr>
                <w:rFonts w:ascii="바탕" w:hAnsi="바탕" w:eastAsia="바탕"/>
                <w:b w:val="0"/>
                <w:i w:val="0"/>
                <w:sz w:val="18"/>
              </w:rPr>
              <w:t>37.5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-143.6]</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-119.0]</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세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두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이기지 못했다.</w:t>
      </w:r>
    </w:p>
    <w:p>
      <w:pPr>
        <w:spacing w:line="480" w:lineRule="auto" w:before="0" w:after="0"/>
        <w:ind w:firstLine="200"/>
        <w:jc w:val="both"/>
      </w:pPr>
      <w:r>
        <w:rPr>
          <w:rFonts w:ascii="바탕" w:hAnsi="바탕" w:eastAsia="바탕"/>
          <w:b/>
          <w:i w:val="0"/>
          <w:sz w:val="20"/>
        </w:rPr>
        <w:t>셋째,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비용을 처음부터 물리지 않고 학습 도중에 켜는 대조 실험으로, 이것이 "비용을 감안하면 가만히 있는 것이 정말 최적"이라서가 아니라 </w:t>
      </w:r>
      <w:r>
        <w:rPr>
          <w:rFonts w:ascii="바탕" w:hAnsi="바탕" w:eastAsia="바탕"/>
          <w:b/>
          <w:i w:val="0"/>
          <w:sz w:val="20"/>
        </w:rPr>
        <w:t>비용 때문에 목표를 한 번도 보지 못해서</w:t>
      </w:r>
      <w:r>
        <w:rPr>
          <w:rFonts w:ascii="바탕" w:hAnsi="바탕" w:eastAsia="바탕"/>
          <w:b w:val="0"/>
          <w:i w:val="0"/>
          <w:sz w:val="20"/>
        </w:rPr>
        <w:t xml:space="preserve"> 생긴 결과임을 확인했다.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두 환경 모두에서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둘뿐이다.</w:t>
      </w:r>
      <w:r>
        <w:rPr>
          <w:rFonts w:ascii="바탕" w:hAnsi="바탕" w:eastAsia="바탕"/>
          <w:b w:val="0"/>
          <w:i w:val="0"/>
          <w:sz w:val="20"/>
        </w:rPr>
        <w:t xml:space="preserve"> MountainCar와 LunarLander는 성질이 대조적이라는 점에서 잘 고른 짝이지만,</w:t>
      </w:r>
    </w:p>
    <w:p>
      <w:pPr>
        <w:spacing w:line="480" w:lineRule="auto" w:before="0" w:after="0"/>
        <w:ind w:firstLine="200"/>
        <w:jc w:val="both"/>
      </w:pPr>
      <w:r>
        <w:rPr>
          <w:rFonts w:ascii="바탕" w:hAnsi="바탕" w:eastAsia="바탕"/>
          <w:b w:val="0"/>
          <w:i w:val="0"/>
          <w:sz w:val="20"/>
        </w:rPr>
        <w:t>두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행동을 새로 </w:t>
      </w:r>
      <w:r>
        <w:rPr>
          <w:rFonts w:ascii="바탕" w:hAnsi="바탕" w:eastAsia="바탕"/>
          <w:b/>
          <w:i w:val="0"/>
          <w:sz w:val="20"/>
        </w:rPr>
        <w:t>결정할 때 1번만</w:t>
      </w:r>
      <w:r>
        <w:rPr>
          <w:rFonts w:ascii="바탕" w:hAnsi="바탕" w:eastAsia="바탕"/>
          <w:b w:val="0"/>
          <w:i w:val="0"/>
          <w:sz w:val="20"/>
        </w:rPr>
        <w:t xml:space="preserve"> 무는 해석(전환 비용)에서는 TempoRL 계열이 유리해질 수 있다. 공정 비교를 지키려고 한 가지 방식으로 고정했으나, 다른 방식은 다른 지도를 그릴 것이다.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더 긴 예산에서는 학습 쪽이 유리해진다는 것을 공정성 점검에서 실제로 확인했다.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