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sz w:val="21"/>
        </w:rPr>
        <w:t>기계공학과 2125256 전혜성</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물리 설비를 제어할 때 행동에는 비용이 따른다. 밸브 개폐는 부품 마모를, 엔진 시동은 연료 소모를, 원격 장비로의 명령 전송은 통신 자원과 배터리 소모를 발생시킨다. 이 때문에 사람이 설계한 제어 규칙은 필요하지 않은 시점에는 개입하지 않도록 만들어진다.</w:t>
      </w:r>
    </w:p>
    <w:p>
      <w:pPr>
        <w:widowControl/>
        <w:spacing w:line="480" w:lineRule="auto" w:before="0" w:after="0"/>
        <w:ind w:firstLine="400"/>
        <w:jc w:val="both"/>
      </w:pPr>
      <w:r>
        <w:rPr>
          <w:rFonts w:ascii="바탕" w:hAnsi="바탕" w:eastAsia="바탕"/>
          <w:b w:val="0"/>
          <w:i w:val="0"/>
          <w:sz w:val="20"/>
        </w:rPr>
        <w:t xml:space="preserve">그러나 표준 강화학습(RL)의 문제 설정에는 이 비용이 반영되어 있지 않다.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jc w:val="center"/>
        <w:spacing w:before="120" w:after="120" w:line="240" w:lineRule="auto"/>
      </w:pPr>
      <m:oMathPara>
        <m:oMath>
          <m:sSub>
            <m:e>
              <m:r>
                <m:t xml:space="preserve">Q</m:t>
              </m:r>
            </m:e>
            <m:sub>
              <m:r>
                <m:t xml:space="preserve">skip</m:t>
              </m:r>
            </m:sub>
          </m:sSub>
          <m:r>
            <m:t xml:space="preserve">(s, a, j)</m:t>
          </m:r>
          <m:r>
            <m:t xml:space="preserve"> ← </m:t>
          </m:r>
          <m:nary>
            <m:naryPr>
              <m:chr m:val="∑"/>
              <m:limLoc m:val="undOvr"/>
              <m:supHide m:val="1"/>
            </m:naryPr>
            <m:sub>
              <m:r>
                <m:t xml:space="preserve">i &lt; j</m:t>
              </m:r>
            </m:sub>
            <m:sup/>
            <m:e>
              <m:sSup>
                <m:e>
                  <m:r>
                    <m:t xml:space="preserve">γ</m:t>
                  </m:r>
                </m:e>
                <m:sup>
                  <m:r>
                    <m:t xml:space="preserve">i</m:t>
                  </m:r>
                </m:sup>
              </m:sSup>
              <m:sSub>
                <m:e>
                  <m:r>
                    <m:t xml:space="preserve">r</m:t>
                  </m:r>
                </m:e>
                <m:sub>
                  <m:r>
                    <m:t xml:space="preserve">t+i</m:t>
                  </m:r>
                </m:sub>
              </m:sSub>
            </m:e>
          </m:nary>
          <m:r>
            <m:t xml:space="preserve"> + </m:t>
          </m:r>
          <m:sSup>
            <m:e>
              <m:r>
                <m:t xml:space="preserve">γ</m:t>
              </m:r>
            </m:e>
            <m:sup>
              <m:r>
                <m:t xml:space="preserve">j</m:t>
              </m:r>
            </m:sup>
          </m:sSup>
          <m:func>
            <m:funcPr>
              <m:ctrlPr/>
            </m:funcPr>
            <m:fName>
              <m:limLow>
                <m:e>
                  <m:r>
                    <m:t xml:space="preserve">max</m:t>
                  </m:r>
                </m:e>
                <m:lim>
                  <m:r>
                    <m:t xml:space="preserve">a′</m:t>
                  </m:r>
                </m:lim>
              </m:limLow>
            </m:fName>
            <m:e>
              <m:r>
                <m:t xml:space="preserve">Q(</m:t>
              </m:r>
              <m:sSub>
                <m:e>
                  <m:r>
                    <m:t xml:space="preserve">s</m:t>
                  </m:r>
                </m:e>
                <m:sub>
                  <m:r>
                    <m:t xml:space="preserve">t+j</m:t>
                  </m:r>
                </m:sub>
              </m:sSub>
              <m:r>
                <m:t xml:space="preserve">, a′)</m:t>
              </m:r>
            </m:e>
          </m:func>
        </m:oMath>
      </m:oMathPara>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이 기록과 수치는 공개 저장소(각주 1)에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함께 놓고 보면 다음과 같은 빈틈이 확인된다.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Ⅰ장에서 밝힌 대로, 물리 설비의 제어에서 행동에는 마모·연료·통신 자원의 비용이 따르지만 표준 강화학습의 문제 설정에는 이 비용이 반영되어 있지 않다. 그 결과 학습된 정책은 개입이 필요하지 않은 상태에서도 행동을 출력한다.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jc w:val="center"/>
        <w:spacing w:before="120" w:after="120" w:line="240" w:lineRule="auto"/>
      </w:pPr>
      <m:oMathPara>
        <m:oMath>
          <m:r>
            <m:t xml:space="preserve">r′(s, a) = r(s, a) − λ · 1[a ≠ </m:t>
          </m:r>
          <m:sSub>
            <m:e>
              <m:r>
                <m:t xml:space="preserve">a</m:t>
              </m:r>
            </m:e>
            <m:sub>
              <m:r>
                <m:t xml:space="preserve">noop</m:t>
              </m:r>
            </m:sub>
          </m:sSub>
          <m:r>
            <m:t xml:space="preserve">]</m:t>
          </m:r>
        </m:oMath>
      </m:oMathPara>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Gymnasium 환경을 감싸는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4845714"/>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4845714"/>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 한 환경만 보면 "규칙에 진 이유가 비용 때문인가, 애초에 학습이 안 돼서인가"를 구분할 수 없기 때문이다.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신경망 구조</w:t>
      </w:r>
      <w:r>
        <w:rPr>
          <w:rFonts w:ascii="바탕" w:hAnsi="바탕" w:eastAsia="바탕"/>
          <w:b w:val="0"/>
          <w:i w:val="0"/>
          <w:sz w:val="20"/>
        </w:rPr>
        <w:t>: 은닉층 두 층, ReLU 활성 (환경별 폭은 아래 참조)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최적화기</w:t>
      </w:r>
      <w:r>
        <w:rPr>
          <w:rFonts w:ascii="바탕" w:hAnsi="바탕" w:eastAsia="바탕"/>
          <w:b w:val="0"/>
          <w:i w:val="0"/>
          <w:sz w:val="20"/>
        </w:rPr>
        <w:t>: Adam</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학습률</w:t>
      </w:r>
      <w:r>
        <w:rPr>
          <w:rFonts w:ascii="바탕" w:hAnsi="바탕" w:eastAsia="바탕"/>
          <w:b w:val="0"/>
          <w:i w:val="0"/>
          <w:sz w:val="20"/>
        </w:rPr>
        <w:t>: 1e-3</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할인율 γ</w:t>
      </w:r>
      <w:r>
        <w:rPr>
          <w:rFonts w:ascii="바탕" w:hAnsi="바탕" w:eastAsia="바탕"/>
          <w:b w:val="0"/>
          <w:i w:val="0"/>
          <w:sz w:val="20"/>
        </w:rPr>
        <w:t>: 0.99</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경험 재생 버퍼</w:t>
      </w:r>
      <w:r>
        <w:rPr>
          <w:rFonts w:ascii="바탕" w:hAnsi="바탕" w:eastAsia="바탕"/>
          <w:b w:val="0"/>
          <w:i w:val="0"/>
          <w:sz w:val="20"/>
        </w:rPr>
        <w:t>: 10만 전이</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배치 크기</w:t>
      </w:r>
      <w:r>
        <w:rPr>
          <w:rFonts w:ascii="바탕" w:hAnsi="바탕" w:eastAsia="바탕"/>
          <w:b w:val="0"/>
          <w:i w:val="0"/>
          <w:sz w:val="20"/>
        </w:rPr>
        <w:t>: 64</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목표망 갱신 주기</w:t>
      </w:r>
      <w:r>
        <w:rPr>
          <w:rFonts w:ascii="바탕" w:hAnsi="바탕" w:eastAsia="바탕"/>
          <w:b w:val="0"/>
          <w:i w:val="0"/>
          <w:sz w:val="20"/>
        </w:rPr>
        <w:t>: 500 갱신마다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스텝 예산</w:t>
      </w:r>
      <w:r>
        <w:rPr>
          <w:rFonts w:ascii="바탕" w:hAnsi="바탕" w:eastAsia="바탕"/>
          <w:b w:val="0"/>
          <w:i w:val="0"/>
          <w:sz w:val="20"/>
        </w:rPr>
        <w:t>: 환경마다 하나의 값으로 고정 (Ⅳ장 실험 설정 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방식</w:t>
      </w:r>
      <w:r>
        <w:rPr>
          <w:rFonts w:ascii="바탕" w:hAnsi="바탕" w:eastAsia="바탕"/>
          <w:b w:val="0"/>
          <w:i w:val="0"/>
          <w:sz w:val="20"/>
        </w:rPr>
        <w:t>: 탐험을 끈 greedy 정책, 같은 평가 시드, 같은 에피소드 수</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 해석 단계에서 제기될 수 있는 대안 설명을 사전에 차단하기 위해 세 가지 검사를 설계 단계에서 포함시켰다. 세 검사는 모두 </w:t>
      </w:r>
      <w:r>
        <w:rPr>
          <w:rFonts w:ascii="바탕" w:hAnsi="바탕" w:eastAsia="바탕"/>
          <w:b/>
          <w:i w:val="0"/>
          <w:sz w:val="20"/>
        </w:rPr>
        <w:t>결과를 확인하기 전에 확정한 것</w:t>
      </w:r>
      <w:r>
        <w:rPr>
          <w:rFonts w:ascii="바탕" w:hAnsi="바탕" w:eastAsia="바탕"/>
          <w:b w:val="0"/>
          <w:i w:val="0"/>
          <w:sz w:val="20"/>
        </w:rPr>
        <w:t>이며, 결과의 방향과 무관하게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widowControl/>
        <w:spacing w:line="480" w:lineRule="auto" w:before="0" w:after="0"/>
        <w:ind w:firstLine="400"/>
        <w:jc w:val="both"/>
      </w:pPr>
      <w:r>
        <w:rPr>
          <w:rFonts w:ascii="바탕" w:hAnsi="바탕" w:eastAsia="바탕"/>
          <w:b w:val="0"/>
          <w:i w:val="0"/>
          <w:sz w:val="20"/>
        </w:rPr>
        <w:t>전체 코드·설정·실험일지·집계 결과는 공개 저장소에 있다.</w:t>
      </w:r>
      <w:r xmlns:w="http://schemas.openxmlformats.org/wordprocessingml/2006/main">
        <w:rPr>
          <w:vertAlign w:val="superscript"/>
        </w:rPr>
        <w:footnoteReference w:id="1"/>
      </w:r>
    </w:p>
    <w:p>
      <w:pPr>
        <w:spacing w:line="480" w:lineRule="auto" w:before="0" w:after="0"/>
        <w:ind w:left="340" w:hanging="198"/>
      </w:pPr>
      <w:r>
        <w:rPr>
          <w:rFonts w:ascii="바탕" w:hAnsi="바탕" w:eastAsia="바탕"/>
          <w:b w:val="0"/>
          <w:i w:val="0"/>
          <w:sz w:val="20"/>
        </w:rPr>
        <w:t>· 모든 실험은 설정 파일 한 장으로 실행되며, 결과 폴더 옆에 설정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 학습 곡선 이상을 점검해 기록으로 남긴다</w:t>
      </w:r>
    </w:p>
    <w:p>
      <w:pPr>
        <w:spacing w:line="480" w:lineRule="auto" w:before="0" w:after="0"/>
        <w:ind w:left="340" w:hanging="198"/>
      </w:pPr>
      <w:r>
        <w:rPr>
          <w:rFonts w:ascii="바탕" w:hAnsi="바탕" w:eastAsia="바탕"/>
          <w:b w:val="0"/>
          <w:i w:val="0"/>
          <w:sz w:val="20"/>
        </w:rPr>
        <w:t>· 실험 도중 내린 모든 설계 결정과 그 근거는 실험일지에 날짜와 함께 기록한다</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임계 비용 λ*의 결과를 먼저 제시한다. λ*는 하나의 숫자로 정해지지 않으며,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공개 저장소(각주 1)</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MinAtar Freeway만 최종 평가 에피소드 수가 적은 것(스냅샷 3장 × 15)은 이 환경의 한 에피소드가 1,000스텝으로 고정되어 있어 45 에피소드만으로도 45,000 환경 스텝이 되기 때문이다. 다른 두 환경은 에피소드가 짧아 같은 비용으로 더 많이 굴릴 수 있다. 학습이 없어 굴리는 값이 싼 고정 규칙에는 세 환경 모두 더 많은 에피소드를 주었다. 출처: 공개 저장소(각주 1)</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[-181, -142]</w:t>
            </w:r>
          </w:p>
        </w:tc>
        <w:tc>
          <w:tcPr>
            <w:tcW w:type="dxa" w:w="1512"/>
          </w:tcPr>
          <w:p>
            <w:pPr>
              <w:spacing w:line="240" w:lineRule="auto"/>
              <w:jc w:val="center"/>
            </w:pPr>
            <w:r>
              <w:rPr>
                <w:rFonts w:ascii="바탕" w:hAnsi="바탕" w:eastAsia="바탕"/>
                <w:b w:val="0"/>
                <w:i w:val="0"/>
                <w:sz w:val="18"/>
              </w:rPr>
              <w:t>-141 [-159, -128]</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-145 [-171, -129]</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-141]</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[-191, -140]</w:t>
            </w:r>
          </w:p>
        </w:tc>
        <w:tc>
          <w:tcPr>
            <w:tcW w:type="dxa" w:w="1512"/>
          </w:tcPr>
          <w:p>
            <w:pPr>
              <w:spacing w:line="240" w:lineRule="auto"/>
              <w:jc w:val="center"/>
            </w:pPr>
            <w:r>
              <w:rPr>
                <w:rFonts w:ascii="바탕" w:hAnsi="바탕" w:eastAsia="바탕"/>
                <w:b w:val="0"/>
                <w:i w:val="0"/>
                <w:sz w:val="18"/>
              </w:rPr>
              <w:t>-149 [-174, -135]</w:t>
            </w:r>
          </w:p>
        </w:tc>
        <w:tc>
          <w:tcPr>
            <w:tcW w:type="dxa" w:w="1512"/>
          </w:tcPr>
          <w:p>
            <w:pPr>
              <w:spacing w:line="240" w:lineRule="auto"/>
              <w:jc w:val="center"/>
            </w:pPr>
            <w:r>
              <w:rPr>
                <w:rFonts w:ascii="바탕" w:hAnsi="바탕" w:eastAsia="바탕"/>
                <w:b w:val="0"/>
                <w:i w:val="0"/>
                <w:sz w:val="18"/>
              </w:rPr>
              <w:t>-144 [-173, -120]</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[-161,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-168]</w:t>
            </w:r>
          </w:p>
        </w:tc>
        <w:tc>
          <w:tcPr>
            <w:tcW w:type="dxa" w:w="1512"/>
          </w:tcPr>
          <w:p>
            <w:pPr>
              <w:spacing w:line="240" w:lineRule="auto"/>
              <w:jc w:val="center"/>
            </w:pPr>
            <w:r>
              <w:rPr>
                <w:rFonts w:ascii="바탕" w:hAnsi="바탕" w:eastAsia="바탕"/>
                <w:b w:val="0"/>
                <w:i w:val="0"/>
                <w:sz w:val="18"/>
              </w:rPr>
              <w:t>-156 [-175, -133]</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-158]</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-158]</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[-143,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[-198,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DQN·TempoRL은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217]</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[129,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[145,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[55,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[171, 227]</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[3, 158]</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[129,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[-2, 128]</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[-60, 34]</w:t>
            </w:r>
          </w:p>
        </w:tc>
        <w:tc>
          <w:tcPr>
            <w:tcW w:type="dxa" w:w="1296"/>
          </w:tcPr>
          <w:p>
            <w:pPr>
              <w:spacing w:line="240" w:lineRule="auto"/>
              <w:jc w:val="center"/>
            </w:pPr>
            <w:r>
              <w:rPr>
                <w:rFonts w:ascii="바탕" w:hAnsi="바탕" w:eastAsia="바탕"/>
                <w:b w:val="0"/>
                <w:i w:val="0"/>
                <w:sz w:val="18"/>
              </w:rPr>
              <w:t>-34 [-129, 26]</w:t>
            </w:r>
          </w:p>
        </w:tc>
        <w:tc>
          <w:tcPr>
            <w:tcW w:type="dxa" w:w="1296"/>
          </w:tcPr>
          <w:p>
            <w:pPr>
              <w:spacing w:line="240" w:lineRule="auto"/>
              <w:jc w:val="center"/>
            </w:pPr>
            <w:r>
              <w:rPr>
                <w:rFonts w:ascii="바탕" w:hAnsi="바탕" w:eastAsia="바탕"/>
                <w:b w:val="0"/>
                <w:i w:val="0"/>
                <w:sz w:val="18"/>
              </w:rPr>
              <w:t>37 [-40,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[-94, -14]</w:t>
            </w:r>
          </w:p>
        </w:tc>
        <w:tc>
          <w:tcPr>
            <w:tcW w:type="dxa" w:w="1296"/>
          </w:tcPr>
          <w:p>
            <w:pPr>
              <w:spacing w:line="240" w:lineRule="auto"/>
              <w:jc w:val="center"/>
            </w:pPr>
            <w:r>
              <w:rPr>
                <w:rFonts w:ascii="바탕" w:hAnsi="바탕" w:eastAsia="바탕"/>
                <w:b w:val="0"/>
                <w:i w:val="0"/>
                <w:sz w:val="18"/>
              </w:rPr>
              <w:t>-28 [-61, -3]</w:t>
            </w:r>
          </w:p>
        </w:tc>
        <w:tc>
          <w:tcPr>
            <w:tcW w:type="dxa" w:w="1296"/>
          </w:tcPr>
          <w:p>
            <w:pPr>
              <w:spacing w:line="240" w:lineRule="auto"/>
              <w:jc w:val="center"/>
            </w:pPr>
            <w:r>
              <w:rPr>
                <w:rFonts w:ascii="바탕" w:hAnsi="바탕" w:eastAsia="바탕"/>
                <w:b w:val="0"/>
                <w:i w:val="0"/>
                <w:sz w:val="18"/>
              </w:rPr>
              <w:t>5 [-18,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[-97, -3]</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[-197, -119]</w:t>
            </w:r>
          </w:p>
        </w:tc>
        <w:tc>
          <w:tcPr>
            <w:tcW w:type="dxa" w:w="1296"/>
          </w:tcPr>
          <w:p>
            <w:pPr>
              <w:spacing w:line="240" w:lineRule="auto"/>
              <w:jc w:val="center"/>
            </w:pPr>
            <w:r>
              <w:rPr>
                <w:rFonts w:ascii="바탕" w:hAnsi="바탕" w:eastAsia="바탕"/>
                <w:b w:val="0"/>
                <w:i w:val="0"/>
                <w:sz w:val="18"/>
              </w:rPr>
              <w:t>-202 [-311, -138]</w:t>
            </w:r>
          </w:p>
        </w:tc>
        <w:tc>
          <w:tcPr>
            <w:tcW w:type="dxa" w:w="1296"/>
          </w:tcPr>
          <w:p>
            <w:pPr>
              <w:spacing w:line="240" w:lineRule="auto"/>
              <w:jc w:val="center"/>
            </w:pPr>
            <w:r>
              <w:rPr>
                <w:rFonts w:ascii="바탕" w:hAnsi="바탕" w:eastAsia="바탕"/>
                <w:b w:val="0"/>
                <w:i w:val="0"/>
                <w:sz w:val="18"/>
              </w:rPr>
              <w:t>-61 [-86, -30]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[-233, -111]</w:t>
            </w:r>
          </w:p>
        </w:tc>
        <w:tc>
          <w:tcPr>
            <w:tcW w:type="dxa" w:w="1296"/>
          </w:tcPr>
          <w:p>
            <w:pPr>
              <w:spacing w:line="240" w:lineRule="auto"/>
              <w:jc w:val="center"/>
            </w:pPr>
            <w:r>
              <w:rPr>
                <w:rFonts w:ascii="바탕" w:hAnsi="바탕" w:eastAsia="바탕"/>
                <w:b w:val="0"/>
                <w:i w:val="0"/>
                <w:sz w:val="18"/>
              </w:rPr>
              <w:t>-139 [-288, -104]</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[-238, -127]</w:t>
            </w:r>
          </w:p>
        </w:tc>
        <w:tc>
          <w:tcPr>
            <w:tcW w:type="dxa" w:w="1296"/>
          </w:tcPr>
          <w:p>
            <w:pPr>
              <w:spacing w:line="240" w:lineRule="auto"/>
              <w:jc w:val="center"/>
            </w:pPr>
            <w:r>
              <w:rPr>
                <w:rFonts w:ascii="바탕" w:hAnsi="바탕" w:eastAsia="바탕"/>
                <w:b w:val="0"/>
                <w:i w:val="0"/>
                <w:sz w:val="18"/>
              </w:rPr>
              <w:t>-157 [-222,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[-378, -169]</w:t>
            </w:r>
          </w:p>
        </w:tc>
        <w:tc>
          <w:tcPr>
            <w:tcW w:type="dxa" w:w="1296"/>
          </w:tcPr>
          <w:p>
            <w:pPr>
              <w:spacing w:line="240" w:lineRule="auto"/>
              <w:jc w:val="center"/>
            </w:pPr>
            <w:r>
              <w:rPr>
                <w:rFonts w:ascii="바탕" w:hAnsi="바탕" w:eastAsia="바탕"/>
                <w:b w:val="0"/>
                <w:i w:val="0"/>
                <w:sz w:val="18"/>
              </w:rPr>
              <w:t>-161 [-240, -130]</w:t>
            </w:r>
          </w:p>
        </w:tc>
        <w:tc>
          <w:tcPr>
            <w:tcW w:type="dxa" w:w="1296"/>
          </w:tcPr>
          <w:p>
            <w:pPr>
              <w:spacing w:line="240" w:lineRule="auto"/>
              <w:jc w:val="center"/>
            </w:pPr>
            <w:r>
              <w:rPr>
                <w:rFonts w:ascii="바탕" w:hAnsi="바탕" w:eastAsia="바탕"/>
                <w:b w:val="0"/>
                <w:i w:val="0"/>
                <w:sz w:val="18"/>
              </w:rPr>
              <w:t>-192 [-294, -155]</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[-335, -149]</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[-268, -137]</w:t>
            </w:r>
          </w:p>
        </w:tc>
        <w:tc>
          <w:tcPr>
            <w:tcW w:type="dxa" w:w="1296"/>
          </w:tcPr>
          <w:p>
            <w:pPr>
              <w:spacing w:line="240" w:lineRule="auto"/>
              <w:jc w:val="center"/>
            </w:pPr>
            <w:r>
              <w:rPr>
                <w:rFonts w:ascii="바탕" w:hAnsi="바탕" w:eastAsia="바탕"/>
                <w:b w:val="0"/>
                <w:i w:val="0"/>
                <w:sz w:val="18"/>
              </w:rPr>
              <w:t>-326 [-340, -312]</w:t>
            </w:r>
          </w:p>
        </w:tc>
        <w:tc>
          <w:tcPr>
            <w:tcW w:type="dxa" w:w="1296"/>
          </w:tcPr>
          <w:p>
            <w:pPr>
              <w:spacing w:line="240" w:lineRule="auto"/>
              <w:jc w:val="center"/>
            </w:pPr>
            <w:r>
              <w:rPr>
                <w:rFonts w:ascii="바탕" w:hAnsi="바탕" w:eastAsia="바탕"/>
                <w:b w:val="0"/>
                <w:i w:val="0"/>
                <w:sz w:val="18"/>
              </w:rPr>
              <w:t>-328 [-331, -326]</w:t>
            </w:r>
          </w:p>
        </w:tc>
        <w:tc>
          <w:tcPr>
            <w:tcW w:type="dxa" w:w="1296"/>
          </w:tcPr>
          <w:p>
            <w:pPr>
              <w:spacing w:line="240" w:lineRule="auto"/>
              <w:jc w:val="center"/>
            </w:pPr>
            <w:r>
              <w:rPr>
                <w:rFonts w:ascii="바탕" w:hAnsi="바탕" w:eastAsia="바탕"/>
                <w:b w:val="0"/>
                <w:i w:val="0"/>
                <w:sz w:val="18"/>
              </w:rPr>
              <w:t>-131 [-133, -128]</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(뒤의 공정성 점검 절도 예산을 다루지만 묻는 것이 다르다. 여기서는 </w:t>
      </w:r>
      <w:r>
        <w:rPr>
          <w:rFonts w:ascii="바탕" w:hAnsi="바탕" w:eastAsia="바탕"/>
          <w:b/>
          <w:i w:val="0"/>
          <w:sz w:val="20"/>
        </w:rPr>
        <w:t>붕괴 문턱이 예산에 따라 밀리는가</w:t>
      </w:r>
      <w:r>
        <w:rPr>
          <w:rFonts w:ascii="바탕" w:hAnsi="바탕" w:eastAsia="바탕"/>
          <w:b w:val="0"/>
          <w:i w:val="0"/>
          <w:sz w:val="20"/>
        </w:rPr>
        <w:t xml:space="preserve">를, 그쪽에서는 </w:t>
      </w:r>
      <w:r>
        <w:rPr>
          <w:rFonts w:ascii="바탕" w:hAnsi="바탕" w:eastAsia="바탕"/>
          <w:b/>
          <w:i w:val="0"/>
          <w:sz w:val="20"/>
        </w:rPr>
        <w:t>비용이 없는 λ=0에서 학습이 규칙 수준에 닿는가</w:t>
      </w:r>
      <w:r>
        <w:rPr>
          <w:rFonts w:ascii="바탕" w:hAnsi="바탕" w:eastAsia="바탕"/>
          <w:b w:val="0"/>
          <w:i w:val="0"/>
          <w:sz w:val="20"/>
        </w:rPr>
        <w:t>를 묻는다.)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공개 저장소(각주 1)의 집계 결과에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793581"/>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79358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**왼쪽 위로 갈수록 좋다 — 적게 움직이고 많이 받는 쪽이다.** 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[5.7, 8.3]</w:t>
            </w:r>
          </w:p>
        </w:tc>
        <w:tc>
          <w:tcPr>
            <w:tcW w:type="dxa" w:w="1296"/>
          </w:tcPr>
          <w:p>
            <w:pPr>
              <w:keepNext/>
              <w:spacing w:line="240" w:lineRule="auto"/>
              <w:jc w:val="center"/>
            </w:pPr>
            <w:r>
              <w:rPr>
                <w:rFonts w:ascii="바탕" w:hAnsi="바탕" w:eastAsia="바탕"/>
                <w:b w:val="0"/>
                <w:i w:val="0"/>
                <w:sz w:val="18"/>
              </w:rPr>
              <w:t>8.8 [7.4,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[16.4,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[16.4,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4.0]</w:t>
            </w:r>
          </w:p>
        </w:tc>
        <w:tc>
          <w:tcPr>
            <w:tcW w:type="dxa" w:w="1296"/>
          </w:tcPr>
          <w:p>
            <w:pPr>
              <w:keepNext/>
              <w:spacing w:line="240" w:lineRule="auto"/>
              <w:jc w:val="center"/>
            </w:pPr>
            <w:r>
              <w:rPr>
                <w:rFonts w:ascii="바탕" w:hAnsi="바탕" w:eastAsia="바탕"/>
                <w:b w:val="0"/>
                <w:i w:val="0"/>
                <w:sz w:val="18"/>
              </w:rPr>
              <w:t>12.5 [11.2, 14.1]</w:t>
            </w:r>
          </w:p>
        </w:tc>
        <w:tc>
          <w:tcPr>
            <w:tcW w:type="dxa" w:w="1296"/>
          </w:tcPr>
          <w:p>
            <w:pPr>
              <w:keepNext/>
              <w:spacing w:line="240" w:lineRule="auto"/>
              <w:jc w:val="center"/>
            </w:pPr>
            <w:r>
              <w:rPr>
                <w:rFonts w:ascii="바탕" w:hAnsi="바탕" w:eastAsia="바탕"/>
                <w:b w:val="0"/>
                <w:i w:val="0"/>
                <w:sz w:val="18"/>
              </w:rPr>
              <w:t>15.4 [14.9,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[14.9,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12.0]</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[6.8, 10.2]</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세 계열 모두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 — 표준 DQN</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[-180.7,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TempoRL 방식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-141.4</w:t>
            </w:r>
          </w:p>
        </w:tc>
        <w:tc>
          <w:tcPr>
            <w:tcW w:type="dxa" w:w="1361"/>
          </w:tcPr>
          <w:p>
            <w:pPr>
              <w:spacing w:line="240" w:lineRule="auto"/>
              <w:jc w:val="center"/>
            </w:pPr>
            <w:r>
              <w:rPr>
                <w:rFonts w:ascii="바탕" w:hAnsi="바탕" w:eastAsia="바탕"/>
                <w:b w:val="0"/>
                <w:i w:val="0"/>
                <w:sz w:val="18"/>
              </w:rPr>
              <w:t>[-159.4, -128.3]</w:t>
            </w:r>
          </w:p>
        </w:tc>
        <w:tc>
          <w:tcPr>
            <w:tcW w:type="dxa" w:w="794"/>
          </w:tcPr>
          <w:p>
            <w:pPr>
              <w:spacing w:line="240" w:lineRule="auto"/>
              <w:jc w:val="center"/>
            </w:pPr>
            <w:r>
              <w:rPr>
                <w:rFonts w:ascii="바탕" w:hAnsi="바탕" w:eastAsia="바탕"/>
                <w:b w:val="0"/>
                <w:i w:val="0"/>
                <w:sz w:val="18"/>
              </w:rPr>
              <w:t>86%</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Lazy-MDP 방식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-127.9</w:t>
            </w:r>
          </w:p>
        </w:tc>
        <w:tc>
          <w:tcPr>
            <w:tcW w:type="dxa" w:w="1361"/>
          </w:tcPr>
          <w:p>
            <w:pPr>
              <w:spacing w:line="240" w:lineRule="auto"/>
              <w:jc w:val="center"/>
            </w:pPr>
            <w:r>
              <w:rPr>
                <w:rFonts w:ascii="바탕" w:hAnsi="바탕" w:eastAsia="바탕"/>
                <w:b w:val="0"/>
                <w:i w:val="0"/>
                <w:sz w:val="18"/>
              </w:rPr>
              <w:t>[-151.6, -117.8]</w:t>
            </w:r>
          </w:p>
        </w:tc>
        <w:tc>
          <w:tcPr>
            <w:tcW w:type="dxa" w:w="794"/>
          </w:tcPr>
          <w:p>
            <w:pPr>
              <w:spacing w:line="240" w:lineRule="auto"/>
              <w:jc w:val="center"/>
            </w:pPr>
            <w:r>
              <w:rPr>
                <w:rFonts w:ascii="바탕" w:hAnsi="바탕" w:eastAsia="바탕"/>
                <w:b w:val="0"/>
                <w:i w:val="0"/>
                <w:sz w:val="18"/>
              </w:rPr>
              <w:t>94%</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 — 표준 DQN</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-147.5]</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표준 DQN</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-138.8]</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 — 표준 DQN</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-129.0]</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 — 표준 DQN</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216.5]</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TempoRL 방식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159.1</w:t>
            </w:r>
          </w:p>
        </w:tc>
        <w:tc>
          <w:tcPr>
            <w:tcW w:type="dxa" w:w="1361"/>
          </w:tcPr>
          <w:p>
            <w:pPr>
              <w:spacing w:line="240" w:lineRule="auto"/>
              <w:jc w:val="center"/>
            </w:pPr>
            <w:r>
              <w:rPr>
                <w:rFonts w:ascii="바탕" w:hAnsi="바탕" w:eastAsia="바탕"/>
                <w:b w:val="0"/>
                <w:i w:val="0"/>
                <w:sz w:val="18"/>
              </w:rPr>
              <w:t>[129.4, 181.6]</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Lazy-MDP 방식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210.1</w:t>
            </w:r>
          </w:p>
        </w:tc>
        <w:tc>
          <w:tcPr>
            <w:tcW w:type="dxa" w:w="1361"/>
          </w:tcPr>
          <w:p>
            <w:pPr>
              <w:spacing w:line="240" w:lineRule="auto"/>
              <w:jc w:val="center"/>
            </w:pPr>
            <w:r>
              <w:rPr>
                <w:rFonts w:ascii="바탕" w:hAnsi="바탕" w:eastAsia="바탕"/>
                <w:b w:val="0"/>
                <w:i w:val="0"/>
                <w:sz w:val="18"/>
              </w:rPr>
              <w:t>[179.7, 234.5]</w:t>
            </w:r>
          </w:p>
        </w:tc>
        <w:tc>
          <w:tcPr>
            <w:tcW w:type="dxa" w:w="794"/>
          </w:tcPr>
          <w:p>
            <w:pPr>
              <w:spacing w:line="240" w:lineRule="auto"/>
              <w:jc w:val="center"/>
            </w:pPr>
            <w:r>
              <w:rPr>
                <w:rFonts w:ascii="바탕" w:hAnsi="바탕" w:eastAsia="바탕"/>
                <w:b w:val="0"/>
                <w:i w:val="0"/>
                <w:sz w:val="18"/>
              </w:rPr>
              <w:t>90%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표준 DQN</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[82.0, 187.1]</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TempoRL 방식</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4.4</w:t>
            </w:r>
          </w:p>
        </w:tc>
        <w:tc>
          <w:tcPr>
            <w:tcW w:type="dxa" w:w="1361"/>
          </w:tcPr>
          <w:p>
            <w:pPr>
              <w:spacing w:line="240" w:lineRule="auto"/>
              <w:jc w:val="center"/>
            </w:pPr>
            <w:r>
              <w:rPr>
                <w:rFonts w:ascii="바탕" w:hAnsi="바탕" w:eastAsia="바탕"/>
                <w:b w:val="0"/>
                <w:i w:val="0"/>
                <w:sz w:val="18"/>
              </w:rPr>
              <w:t>[-157.4, 106.6]</w:t>
            </w:r>
          </w:p>
        </w:tc>
        <w:tc>
          <w:tcPr>
            <w:tcW w:type="dxa" w:w="794"/>
          </w:tcPr>
          <w:p>
            <w:pPr>
              <w:spacing w:line="240" w:lineRule="auto"/>
              <w:jc w:val="center"/>
            </w:pPr>
            <w:r>
              <w:rPr>
                <w:rFonts w:ascii="바탕" w:hAnsi="바탕" w:eastAsia="바탕"/>
                <w:b w:val="0"/>
                <w:i w:val="0"/>
                <w:sz w:val="18"/>
              </w:rPr>
              <w:t>76%</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Lazy-MDP 방식</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168.7</w:t>
            </w:r>
          </w:p>
        </w:tc>
        <w:tc>
          <w:tcPr>
            <w:tcW w:type="dxa" w:w="1361"/>
          </w:tcPr>
          <w:p>
            <w:pPr>
              <w:spacing w:line="240" w:lineRule="auto"/>
              <w:jc w:val="center"/>
            </w:pPr>
            <w:r>
              <w:rPr>
                <w:rFonts w:ascii="바탕" w:hAnsi="바탕" w:eastAsia="바탕"/>
                <w:b w:val="0"/>
                <w:i w:val="0"/>
                <w:sz w:val="18"/>
              </w:rPr>
              <w:t>[58.6, 209.2]</w:t>
            </w:r>
          </w:p>
        </w:tc>
        <w:tc>
          <w:tcPr>
            <w:tcW w:type="dxa" w:w="794"/>
          </w:tcPr>
          <w:p>
            <w:pPr>
              <w:spacing w:line="240" w:lineRule="auto"/>
              <w:jc w:val="center"/>
            </w:pPr>
            <w:r>
              <w:rPr>
                <w:rFonts w:ascii="바탕" w:hAnsi="바탕" w:eastAsia="바탕"/>
                <w:b w:val="0"/>
                <w:i w:val="0"/>
                <w:sz w:val="18"/>
              </w:rPr>
              <w:t>96%</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[156.8, 167.5]</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 — 표준 DQN</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[5.7, 8.3]</w:t>
            </w:r>
          </w:p>
        </w:tc>
        <w:tc>
          <w:tcPr>
            <w:tcW w:type="dxa" w:w="794"/>
          </w:tcPr>
          <w:p>
            <w:pPr>
              <w:spacing w:line="240" w:lineRule="auto"/>
              <w:jc w:val="center"/>
            </w:pPr>
            <w:r>
              <w:rPr>
                <w:rFonts w:ascii="바탕" w:hAnsi="바탕" w:eastAsia="바탕"/>
                <w:b w:val="0"/>
                <w:i w:val="0"/>
                <w:sz w:val="18"/>
              </w:rPr>
              <w:t>—</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TempoRL 방식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[7.4, 9.8]</w:t>
            </w:r>
          </w:p>
        </w:tc>
        <w:tc>
          <w:tcPr>
            <w:tcW w:type="dxa" w:w="794"/>
          </w:tcPr>
          <w:p>
            <w:pPr>
              <w:spacing w:line="240" w:lineRule="auto"/>
              <w:jc w:val="center"/>
            </w:pPr>
            <w:r>
              <w:rPr>
                <w:rFonts w:ascii="바탕" w:hAnsi="바탕" w:eastAsia="바탕"/>
                <w:b w:val="0"/>
                <w:i w:val="0"/>
                <w:sz w:val="18"/>
              </w:rPr>
              <w:t>—</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Lazy-MDP 방식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13.6</w:t>
            </w:r>
          </w:p>
        </w:tc>
        <w:tc>
          <w:tcPr>
            <w:tcW w:type="dxa" w:w="1361"/>
          </w:tcPr>
          <w:p>
            <w:pPr>
              <w:spacing w:line="240" w:lineRule="auto"/>
              <w:jc w:val="center"/>
            </w:pPr>
            <w:r>
              <w:rPr>
                <w:rFonts w:ascii="바탕" w:hAnsi="바탕" w:eastAsia="바탕"/>
                <w:b w:val="0"/>
                <w:i w:val="0"/>
                <w:sz w:val="18"/>
              </w:rPr>
              <w:t>[11.9, 14.9]</w:t>
            </w:r>
          </w:p>
        </w:tc>
        <w:tc>
          <w:tcPr>
            <w:tcW w:type="dxa" w:w="794"/>
          </w:tcPr>
          <w:p>
            <w:pPr>
              <w:spacing w:line="240" w:lineRule="auto"/>
              <w:jc w:val="center"/>
            </w:pPr>
            <w:r>
              <w:rPr>
                <w:rFonts w:ascii="바탕" w:hAnsi="바탕" w:eastAsia="바탕"/>
                <w:b w:val="0"/>
                <w:i w:val="0"/>
                <w:sz w:val="18"/>
              </w:rPr>
              <w:t>—</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표준 DQN</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TempoRL 방식</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8.4</w:t>
            </w:r>
          </w:p>
        </w:tc>
        <w:tc>
          <w:tcPr>
            <w:tcW w:type="dxa" w:w="1361"/>
          </w:tcPr>
          <w:p>
            <w:pPr>
              <w:spacing w:line="240" w:lineRule="auto"/>
              <w:jc w:val="center"/>
            </w:pPr>
            <w:r>
              <w:rPr>
                <w:rFonts w:ascii="바탕" w:hAnsi="바탕" w:eastAsia="바탕"/>
                <w:b w:val="0"/>
                <w:i w:val="0"/>
                <w:sz w:val="18"/>
              </w:rPr>
              <w:t>[6.7, 10.0]</w:t>
            </w:r>
          </w:p>
        </w:tc>
        <w:tc>
          <w:tcPr>
            <w:tcW w:type="dxa" w:w="794"/>
          </w:tcPr>
          <w:p>
            <w:pPr>
              <w:spacing w:line="240" w:lineRule="auto"/>
              <w:jc w:val="center"/>
            </w:pPr>
            <w:r>
              <w:rPr>
                <w:rFonts w:ascii="바탕" w:hAnsi="바탕" w:eastAsia="바탕"/>
                <w:b w:val="0"/>
                <w:i w:val="0"/>
                <w:sz w:val="18"/>
              </w:rPr>
              <w:t>—</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Lazy-MDP 방식</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13.9</w:t>
            </w:r>
          </w:p>
        </w:tc>
        <w:tc>
          <w:tcPr>
            <w:tcW w:type="dxa" w:w="1361"/>
          </w:tcPr>
          <w:p>
            <w:pPr>
              <w:spacing w:line="240" w:lineRule="auto"/>
              <w:jc w:val="center"/>
            </w:pPr>
            <w:r>
              <w:rPr>
                <w:rFonts w:ascii="바탕" w:hAnsi="바탕" w:eastAsia="바탕"/>
                <w:b w:val="0"/>
                <w:i w:val="0"/>
                <w:sz w:val="18"/>
              </w:rPr>
              <w:t>[12.8, 15.0]</w:t>
            </w:r>
          </w:p>
        </w:tc>
        <w:tc>
          <w:tcPr>
            <w:tcW w:type="dxa" w:w="794"/>
          </w:tcPr>
          <w:p>
            <w:pPr>
              <w:spacing w:line="240" w:lineRule="auto"/>
              <w:jc w:val="center"/>
            </w:pPr>
            <w:r>
              <w:rPr>
                <w:rFonts w:ascii="바탕" w:hAnsi="바탕" w:eastAsia="바탕"/>
                <w:b w:val="0"/>
                <w:i w:val="0"/>
                <w:sz w:val="18"/>
              </w:rPr>
              <w:t>—</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[16.4, 17.6]</w:t>
            </w:r>
          </w:p>
        </w:tc>
        <w:tc>
          <w:tcPr>
            <w:tcW w:type="dxa" w:w="794"/>
          </w:tcPr>
          <w:p>
            <w:pPr>
              <w:spacing w:line="240" w:lineRule="auto"/>
              <w:jc w:val="center"/>
            </w:pPr>
            <w:r>
              <w:rPr>
                <w:rFonts w:ascii="바탕" w:hAnsi="바탕" w:eastAsia="바탕"/>
                <w:b w:val="0"/>
                <w:i w:val="0"/>
                <w:sz w:val="18"/>
              </w:rPr>
              <w:t>—</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평가는 본실험과 같다(스냅샷 3장 × 최종 에피소드). 시드 수가 10개보다 적은 줄은 결정을 위한 파일럿이며 그 자체로 결론이 아니다. 출처: 공개 저장소(각주 1)</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45→105) · TempoRL 159→4(구간 폭 52→264) · Lazy-MDP 210→169(구간 폭 55→151).</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계열마다 방향이 달랐다: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2.3~5.1배로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 xml:space="preserve">이 표의 평가는 규칙마다 시드 10개 × 100 에피소드다. 본실험의 규칙 평가는 환경에 따라 에피소드 수가 다르고(MinAtar/Freeway는 50), 그래서 같은 규칙이라도 값이 조금 다르게 나온다 — 신중 규칙이 본실험 표에서는 16.9, 이 표에서는 17.1인 것이 그 때문이다. </w:t>
      </w:r>
      <w:r>
        <w:rPr>
          <w:rFonts w:ascii="바탕" w:hAnsi="바탕" w:eastAsia="바탕"/>
          <w:b/>
          <w:i w:val="0"/>
          <w:sz w:val="20"/>
        </w:rPr>
        <w:t>우열 판정은 이 표 안에서만 하고, 다른 표와 직접 견주지 않는다.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160" w:after="60"/>
        <w:jc w:val="left"/>
      </w:pPr>
      <w:r>
        <w:rPr>
          <w:rFonts w:ascii="맑은 고딕" w:hAnsi="맑은 고딕" w:eastAsia="맑은 고딕"/>
          <w:b/>
          <w:i w:val="0"/>
          <w:sz w:val="20"/>
        </w:rPr>
        <w:t>기본 정책을 잘 만들면 Lazy-MDP도 좋아지는가</w:t>
      </w:r>
    </w:p>
    <w:p>
      <w:pPr>
        <w:widowControl/>
        <w:spacing w:line="480" w:lineRule="auto" w:before="0" w:after="0"/>
        <w:ind w:firstLine="400"/>
        <w:jc w:val="both"/>
      </w:pPr>
      <w:r>
        <w:rPr>
          <w:rFonts w:ascii="바탕" w:hAnsi="바탕" w:eastAsia="바탕"/>
          <w:b w:val="0"/>
          <w:i w:val="0"/>
          <w:sz w:val="20"/>
        </w:rPr>
        <w:t xml:space="preserve">Lazy-MDP는 </w:t>
      </w:r>
      <w:r>
        <w:rPr>
          <w:rFonts w:ascii="바탕" w:hAnsi="바탕" w:eastAsia="바탕"/>
          <w:b/>
          <w:i w:val="0"/>
          <w:sz w:val="20"/>
        </w:rPr>
        <w:t>기본 정책에 맡기기</w:t>
      </w:r>
      <w:r>
        <w:rPr>
          <w:rFonts w:ascii="바탕" w:hAnsi="바탕" w:eastAsia="바탕"/>
          <w:b w:val="0"/>
          <w:i w:val="0"/>
          <w:sz w:val="20"/>
        </w:rPr>
        <w:t>라는 선택지를 하나 더 갖는다. 그렇다면 그 기본 정책을 잘 만들수록 Lazy도 좋아져야 할 것 같다. 실제로 이 연구는 한동안 "Lazy 성적은 약한 규칙 위에서 난 것이라 하한이다"라고 적어 두었다. 확인하려고 기본 정책만 계수를 다시 고른 규칙으로 바꿔 같은 조건에서 다시 돌렸다(λ 12개 × 시드 10개).</w:t>
      </w:r>
    </w:p>
    <w:p>
      <w:pPr>
        <w:widowControl/>
        <w:spacing w:line="480" w:lineRule="auto" w:before="0" w:after="0"/>
        <w:ind w:firstLine="400"/>
        <w:jc w:val="both"/>
      </w:pPr>
      <w:r>
        <w:rPr>
          <w:rFonts w:ascii="바탕" w:hAnsi="바탕" w:eastAsia="바탕"/>
          <w:b/>
          <w:i w:val="0"/>
          <w:sz w:val="20"/>
        </w:rPr>
        <w:t>기대는 빗나갔다.</w:t>
      </w:r>
    </w:p>
    <w:p>
      <w:pPr>
        <w:keepNext/>
        <w:widowControl/>
        <w:spacing w:line="276" w:lineRule="auto" w:before="200" w:after="40"/>
        <w:jc w:val="center"/>
      </w:pPr>
      <w:r>
        <w:rPr>
          <w:rFonts w:ascii="맑은 고딕" w:hAnsi="맑은 고딕" w:eastAsia="맑은 고딕"/>
          <w:b/>
          <w:i w:val="0"/>
          <w:sz w:val="19"/>
        </w:rPr>
        <w:t>표 13. Lazy-MDP의 기본 정책을 바꿨을 때 (LunarLander-v3, 시드 10개)</w:t>
      </w:r>
    </w:p>
    <w:p>
      <w:pPr>
        <w:keepNext/>
        <w:widowControl/>
        <w:spacing w:line="276" w:lineRule="auto" w:before="0" w:after="60"/>
        <w:jc w:val="center"/>
      </w:pPr>
      <w:r>
        <w:rPr>
          <w:rFonts w:ascii="맑은 고딕" w:hAnsi="맑은 고딕" w:eastAsia="맑은 고딕"/>
          <w:b w:val="0"/>
          <w:i/>
          <w:sz w:val="18"/>
        </w:rPr>
        <w:t>Table 13. Changing the base policy of Lazy-MDP (LunarLander-v3, 10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기본 정책</w:t>
            </w:r>
          </w:p>
        </w:tc>
        <w:tc>
          <w:tcPr>
            <w:tcW w:type="dxa" w:w="1814"/>
            <w:shd w:val="clear" w:color="auto" w:fill="EDEDED"/>
          </w:tcPr>
          <w:p>
            <w:pPr>
              <w:keepNext/>
              <w:spacing w:line="240" w:lineRule="auto"/>
              <w:jc w:val="center"/>
            </w:pPr>
            <w:r/>
            <w:r>
              <w:rPr>
                <w:rFonts w:ascii="맑은 고딕" w:hAnsi="맑은 고딕" w:eastAsia="맑은 고딕"/>
                <w:b/>
                <w:i w:val="0"/>
                <w:sz w:val="18"/>
              </w:rPr>
              <w:t>λ=0 점수 r′ [95% CI]</w:t>
            </w:r>
          </w:p>
        </w:tc>
        <w:tc>
          <w:tcPr>
            <w:tcW w:type="dxa" w:w="1814"/>
            <w:shd w:val="clear" w:color="auto" w:fill="EDEDED"/>
          </w:tcPr>
          <w:p>
            <w:pPr>
              <w:keepNext/>
              <w:spacing w:line="240" w:lineRule="auto"/>
              <w:jc w:val="center"/>
            </w:pPr>
            <w:r/>
            <w:r>
              <w:rPr>
                <w:rFonts w:ascii="맑은 고딕" w:hAnsi="맑은 고딕" w:eastAsia="맑은 고딕"/>
                <w:b/>
                <w:i w:val="0"/>
                <w:sz w:val="18"/>
              </w:rPr>
              <w:t>λ=0 행동 횟수</w:t>
            </w:r>
          </w:p>
        </w:tc>
        <w:tc>
          <w:tcPr>
            <w:tcW w:type="dxa" w:w="1814"/>
            <w:shd w:val="clear" w:color="auto" w:fill="EDEDED"/>
          </w:tcPr>
          <w:p>
            <w:pPr>
              <w:keepNext/>
              <w:spacing w:line="240" w:lineRule="auto"/>
              <w:jc w:val="center"/>
            </w:pPr>
            <w:r/>
            <w:r>
              <w:rPr>
                <w:rFonts w:ascii="맑은 고딕" w:hAnsi="맑은 고딕" w:eastAsia="맑은 고딕"/>
                <w:b/>
                <w:i w:val="0"/>
                <w:sz w:val="18"/>
              </w:rPr>
              <w:t>λ*_CI</w:t>
            </w:r>
          </w:p>
        </w:tc>
        <w:tc>
          <w:tcPr>
            <w:tcW w:type="dxa" w:w="1814"/>
            <w:shd w:val="clear" w:color="auto" w:fill="EDEDED"/>
          </w:tcPr>
          <w:p>
            <w:pPr>
              <w:keepNext/>
              <w:spacing w:line="240" w:lineRule="auto"/>
              <w:jc w:val="center"/>
            </w:pPr>
            <w:r/>
            <w:r>
              <w:rPr>
                <w:rFonts w:ascii="맑은 고딕" w:hAnsi="맑은 고딕" w:eastAsia="맑은 고딕"/>
                <w:b/>
                <w:i w:val="0"/>
                <w:sz w:val="18"/>
              </w:rPr>
              <w:t>λ*_점추정</w:t>
            </w:r>
          </w:p>
        </w:tc>
      </w:tr>
      <w:tr>
        <w:trPr>
          <w:cantSplit/>
        </w:trPr>
        <w:tc>
          <w:tcPr>
            <w:tcW w:type="dxa" w:w="1814"/>
          </w:tcPr>
          <w:p>
            <w:pPr>
              <w:keepNext/>
              <w:spacing w:line="240" w:lineRule="auto"/>
              <w:jc w:val="left"/>
            </w:pPr>
            <w:r>
              <w:rPr>
                <w:rFonts w:ascii="바탕" w:hAnsi="바탕" w:eastAsia="바탕"/>
                <w:b w:val="0"/>
                <w:i w:val="0"/>
                <w:sz w:val="18"/>
              </w:rPr>
              <w:t>처음 규칙 (약함)</w:t>
            </w:r>
          </w:p>
        </w:tc>
        <w:tc>
          <w:tcPr>
            <w:tcW w:type="dxa" w:w="1814"/>
          </w:tcPr>
          <w:p>
            <w:pPr>
              <w:keepNext/>
              <w:spacing w:line="240" w:lineRule="auto"/>
              <w:jc w:val="center"/>
            </w:pPr>
            <w:r>
              <w:rPr>
                <w:rFonts w:ascii="바탕" w:hAnsi="바탕" w:eastAsia="바탕"/>
                <w:b w:val="0"/>
                <w:i w:val="0"/>
                <w:sz w:val="18"/>
              </w:rPr>
              <w:t xml:space="preserve">210.1 </w:t>
            </w:r>
            <w:r>
              <w:rPr>
                <w:rFonts w:ascii="바탕" w:hAnsi="바탕" w:eastAsia="바탕"/>
                <w:b w:val="0"/>
                <w:i w:val="0"/>
                <w:sz w:val="18"/>
                <w:vertAlign w:val="superscript"/>
              </w:rPr>
              <w:t>[180, 234]</w:t>
            </w:r>
          </w:p>
        </w:tc>
        <w:tc>
          <w:tcPr>
            <w:tcW w:type="dxa" w:w="1814"/>
          </w:tcPr>
          <w:p>
            <w:pPr>
              <w:keepNext/>
              <w:spacing w:line="240" w:lineRule="auto"/>
              <w:jc w:val="center"/>
            </w:pPr>
            <w:r>
              <w:rPr>
                <w:rFonts w:ascii="바탕" w:hAnsi="바탕" w:eastAsia="바탕"/>
                <w:b w:val="0"/>
                <w:i w:val="0"/>
                <w:sz w:val="18"/>
              </w:rPr>
              <w:t>247</w:t>
            </w:r>
          </w:p>
        </w:tc>
        <w:tc>
          <w:tcPr>
            <w:tcW w:type="dxa" w:w="1814"/>
          </w:tcPr>
          <w:p>
            <w:pPr>
              <w:keepNext/>
              <w:spacing w:line="240" w:lineRule="auto"/>
              <w:jc w:val="center"/>
            </w:pPr>
            <w:r>
              <w:rPr>
                <w:rFonts w:ascii="바탕" w:hAnsi="바탕" w:eastAsia="바탕"/>
                <w:b w:val="0"/>
                <w:i w:val="0"/>
                <w:sz w:val="18"/>
              </w:rPr>
              <w:t>0.6</w:t>
            </w:r>
          </w:p>
        </w:tc>
        <w:tc>
          <w:tcPr>
            <w:tcW w:type="dxa" w:w="1814"/>
          </w:tcPr>
          <w:p>
            <w:pPr>
              <w:keepNext/>
              <w:spacing w:line="240" w:lineRule="auto"/>
              <w:jc w:val="center"/>
            </w:pPr>
            <w:r>
              <w:rPr>
                <w:rFonts w:ascii="바탕" w:hAnsi="바탕" w:eastAsia="바탕"/>
                <w:b w:val="0"/>
                <w:i w:val="0"/>
                <w:sz w:val="18"/>
              </w:rPr>
              <w:t>2</w:t>
            </w:r>
          </w:p>
        </w:tc>
      </w:tr>
      <w:tr>
        <w:trPr>
          <w:cantSplit/>
        </w:trPr>
        <w:tc>
          <w:tcPr>
            <w:tcW w:type="dxa" w:w="1814"/>
          </w:tcPr>
          <w:p>
            <w:pPr>
              <w:spacing w:line="240" w:lineRule="auto"/>
              <w:jc w:val="left"/>
            </w:pPr>
            <w:r>
              <w:rPr>
                <w:rFonts w:ascii="바탕" w:hAnsi="바탕" w:eastAsia="바탕"/>
                <w:b w:val="0"/>
                <w:i w:val="0"/>
                <w:sz w:val="18"/>
              </w:rPr>
              <w:t>다시 고른 규칙 (강함)</w:t>
            </w:r>
          </w:p>
        </w:tc>
        <w:tc>
          <w:tcPr>
            <w:tcW w:type="dxa" w:w="1814"/>
          </w:tcPr>
          <w:p>
            <w:pPr>
              <w:spacing w:line="240" w:lineRule="auto"/>
              <w:jc w:val="center"/>
            </w:pPr>
            <w:r>
              <w:rPr>
                <w:rFonts w:ascii="바탕" w:hAnsi="바탕" w:eastAsia="바탕"/>
                <w:b w:val="0"/>
                <w:i w:val="0"/>
                <w:sz w:val="18"/>
              </w:rPr>
              <w:t xml:space="preserve">194.6 </w:t>
            </w:r>
            <w:r>
              <w:rPr>
                <w:rFonts w:ascii="바탕" w:hAnsi="바탕" w:eastAsia="바탕"/>
                <w:b w:val="0"/>
                <w:i w:val="0"/>
                <w:sz w:val="18"/>
                <w:vertAlign w:val="superscript"/>
              </w:rPr>
              <w:t>[153, 214]</w:t>
            </w:r>
          </w:p>
        </w:tc>
        <w:tc>
          <w:tcPr>
            <w:tcW w:type="dxa" w:w="1814"/>
          </w:tcPr>
          <w:p>
            <w:pPr>
              <w:spacing w:line="240" w:lineRule="auto"/>
              <w:jc w:val="center"/>
            </w:pPr>
            <w:r>
              <w:rPr>
                <w:rFonts w:ascii="바탕" w:hAnsi="바탕" w:eastAsia="바탕"/>
                <w:b w:val="0"/>
                <w:i w:val="0"/>
                <w:sz w:val="18"/>
              </w:rPr>
              <w:t>188</w:t>
            </w:r>
          </w:p>
        </w:tc>
        <w:tc>
          <w:tcPr>
            <w:tcW w:type="dxa" w:w="1814"/>
          </w:tcPr>
          <w:p>
            <w:pPr>
              <w:spacing w:line="240" w:lineRule="auto"/>
              <w:jc w:val="center"/>
            </w:pPr>
            <w:r>
              <w:rPr>
                <w:rFonts w:ascii="바탕" w:hAnsi="바탕" w:eastAsia="바탕"/>
                <w:b w:val="0"/>
                <w:i w:val="0"/>
                <w:sz w:val="18"/>
              </w:rPr>
              <w:t>0</w:t>
            </w:r>
          </w:p>
        </w:tc>
        <w:tc>
          <w:tcPr>
            <w:tcW w:type="dxa" w:w="1814"/>
          </w:tcPr>
          <w:p>
            <w:pPr>
              <w:spacing w:line="240" w:lineRule="auto"/>
              <w:jc w:val="center"/>
            </w:pPr>
            <w:r>
              <w:rPr>
                <w:rFonts w:ascii="바탕" w:hAnsi="바탕" w:eastAsia="바탕"/>
                <w:b w:val="0"/>
                <w:i w:val="0"/>
                <w:sz w:val="18"/>
              </w:rPr>
              <w:t>1</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좋은 기본 정책을 주자 </w:t>
      </w:r>
      <w:r>
        <w:rPr>
          <w:rFonts w:ascii="바탕" w:hAnsi="바탕" w:eastAsia="바탕"/>
          <w:b/>
          <w:i w:val="0"/>
          <w:sz w:val="20"/>
        </w:rPr>
        <w:t>행동은 58회 줄었지만 점수는 오르지 않았고</w:t>
      </w:r>
      <w:r>
        <w:rPr>
          <w:rFonts w:ascii="바탕" w:hAnsi="바탕" w:eastAsia="바탕"/>
          <w:b w:val="0"/>
          <w:i w:val="0"/>
          <w:sz w:val="20"/>
        </w:rPr>
        <w:t xml:space="preserve">, 통계적 우위가 사라지는 지점(λ*_CI)은 오히려 앞당겨졌다. 신뢰구간이 대부분의 λ에서 겹치므로 </w:t>
      </w:r>
      <w:r>
        <w:rPr>
          <w:rFonts w:ascii="바탕" w:hAnsi="바탕" w:eastAsia="바탕"/>
          <w:b/>
          <w:i w:val="0"/>
          <w:sz w:val="20"/>
        </w:rPr>
        <w:t>어느 쪽이 낫다고 말하지는 않는다.</w:t>
      </w:r>
      <w:r>
        <w:rPr>
          <w:rFonts w:ascii="바탕" w:hAnsi="바탕" w:eastAsia="바탕"/>
          <w:b w:val="0"/>
          <w:i w:val="0"/>
          <w:sz w:val="20"/>
        </w:rPr>
        <w:t xml:space="preserve"> 확실한 것은 </w:t>
      </w:r>
      <w:r>
        <w:rPr>
          <w:rFonts w:ascii="바탕" w:hAnsi="바탕" w:eastAsia="바탕"/>
          <w:b/>
          <w:i w:val="0"/>
          <w:sz w:val="20"/>
        </w:rPr>
        <w:t>'하한'이라는 기대가 확인되지 않았다</w:t>
      </w:r>
      <w:r>
        <w:rPr>
          <w:rFonts w:ascii="바탕" w:hAnsi="바탕" w:eastAsia="바탕"/>
          <w:b w:val="0"/>
          <w:i w:val="0"/>
          <w:sz w:val="20"/>
        </w:rPr>
        <w:t>는 것이다.</w:t>
      </w:r>
    </w:p>
    <w:p>
      <w:pPr>
        <w:widowControl/>
        <w:spacing w:line="480" w:lineRule="auto" w:before="0" w:after="0"/>
        <w:ind w:firstLine="400"/>
        <w:jc w:val="both"/>
      </w:pPr>
      <w:r>
        <w:rPr>
          <w:rFonts w:ascii="바탕" w:hAnsi="바탕" w:eastAsia="바탕"/>
          <w:b w:val="0"/>
          <w:i w:val="0"/>
          <w:sz w:val="20"/>
        </w:rPr>
        <w:t xml:space="preserve">한 가지 해석이 가능하다. 기본 정책이 강하면 위임이 매력적이어서 에이전트의 행동이 규칙 쪽으로 수렴하고, 그러면 </w:t>
      </w:r>
      <w:r>
        <w:rPr>
          <w:rFonts w:ascii="바탕" w:hAnsi="바탕" w:eastAsia="바탕"/>
          <w:b/>
          <w:i w:val="0"/>
          <w:sz w:val="20"/>
        </w:rPr>
        <w:t>규칙을 크게 넘어설 여지도 함께 사라진다.</w:t>
      </w:r>
      <w:r>
        <w:rPr>
          <w:rFonts w:ascii="바탕" w:hAnsi="바탕" w:eastAsia="바탕"/>
          <w:b w:val="0"/>
          <w:i w:val="0"/>
          <w:sz w:val="20"/>
        </w:rPr>
        <w:t xml:space="preserve"> 반대로 기본 정책이 약하면 위임할 이유가 없어 직접 행동하는 법을 배워야 하고, 그렇게 배운 정책이 다시 고른 규칙보다 나았을 수 있다. </w:t>
      </w:r>
      <w:r>
        <w:rPr>
          <w:rFonts w:ascii="바탕" w:hAnsi="바탕" w:eastAsia="바탕"/>
          <w:b/>
          <w:i w:val="0"/>
          <w:sz w:val="20"/>
        </w:rPr>
        <w:t>다만 이것은 관측에 대한 해석이지 확인한 것이 아니다</w:t>
      </w:r>
      <w:r>
        <w:rPr>
          <w:rFonts w:ascii="바탕" w:hAnsi="바탕" w:eastAsia="바탕"/>
          <w:b w:val="0"/>
          <w:i w:val="0"/>
          <w:sz w:val="20"/>
        </w:rPr>
        <w:t xml:space="preserve"> — 어느 상태에서 위임했는지를 보아야 말할 수 있고, 그것은 이 연구에서 하지 않았다(Ⅴ장 다음 연구).</w:t>
      </w:r>
    </w:p>
    <w:p>
      <w:pPr>
        <w:keepNext/>
        <w:widowControl/>
        <w:spacing w:line="312" w:lineRule="auto" w:before="200" w:after="80"/>
        <w:jc w:val="left"/>
      </w:pPr>
      <w:r>
        <w:rPr>
          <w:rFonts w:ascii="맑은 고딕" w:hAnsi="맑은 고딕" w:eastAsia="맑은 고딕"/>
          <w:b/>
          <w:i w:val="0"/>
          <w:sz w:val="22"/>
        </w:rPr>
        <w:t>9. 비용을 어떻게 세느냐가 답을 바꾼다</w:t>
      </w:r>
    </w:p>
    <w:p>
      <w:pPr>
        <w:widowControl/>
        <w:spacing w:line="480" w:lineRule="auto" w:before="0" w:after="0"/>
        <w:ind w:firstLine="400"/>
        <w:jc w:val="both"/>
      </w:pPr>
      <w:r>
        <w:rPr>
          <w:rFonts w:ascii="바탕" w:hAnsi="바탕" w:eastAsia="바탕"/>
          <w:b w:val="0"/>
          <w:i w:val="0"/>
          <w:sz w:val="20"/>
        </w:rPr>
        <w:t xml:space="preserve">이 연구의 지도는 </w:t>
      </w:r>
      <w:r>
        <w:rPr>
          <w:rFonts w:ascii="바탕" w:hAnsi="바탕" w:eastAsia="바탕"/>
          <w:b/>
          <w:i w:val="0"/>
          <w:sz w:val="20"/>
        </w:rPr>
        <w:t>매 스텝 과금</w:t>
      </w:r>
      <w:r>
        <w:rPr>
          <w:rFonts w:ascii="바탕" w:hAnsi="바탕" w:eastAsia="바탕"/>
          <w:b w:val="0"/>
          <w:i w:val="0"/>
          <w:sz w:val="20"/>
        </w:rPr>
        <w:t xml:space="preserve">(행동을 실행하는 스텝마다 λ) 위에 있다. 실제 설비에서는 행동이 </w:t>
      </w:r>
      <w:r>
        <w:rPr>
          <w:rFonts w:ascii="바탕" w:hAnsi="바탕" w:eastAsia="바탕"/>
          <w:b/>
          <w:i w:val="0"/>
          <w:sz w:val="20"/>
        </w:rPr>
        <w:t>바뀔 때만</w:t>
      </w:r>
      <w:r>
        <w:rPr>
          <w:rFonts w:ascii="바탕" w:hAnsi="바탕" w:eastAsia="바탕"/>
          <w:b w:val="0"/>
          <w:i w:val="0"/>
          <w:sz w:val="20"/>
        </w:rPr>
        <w:t xml:space="preserve"> 무는 해석(전환 비용)도 흔하다. 밸브를 계속 열어 두는 것은 공짜고 여닫는 순간에만 마모가 생기는 경우다. 같은 환경(MountainCar)·같은 계열·같은 예산에서 </w:t>
      </w:r>
      <w:r>
        <w:rPr>
          <w:rFonts w:ascii="바탕" w:hAnsi="바탕" w:eastAsia="바탕"/>
          <w:b/>
          <w:i w:val="0"/>
          <w:sz w:val="20"/>
        </w:rPr>
        <w:t>과금 방식만</w:t>
      </w:r>
      <w:r>
        <w:rPr>
          <w:rFonts w:ascii="바탕" w:hAnsi="바탕" w:eastAsia="바탕"/>
          <w:b w:val="0"/>
          <w:i w:val="0"/>
          <w:sz w:val="20"/>
        </w:rPr>
        <w:t xml:space="preserve"> 바꿔 다시 쟀다.</w:t>
      </w:r>
    </w:p>
    <w:p>
      <w:pPr>
        <w:keepNext/>
        <w:widowControl/>
        <w:spacing w:line="276" w:lineRule="auto" w:before="200" w:after="40"/>
        <w:jc w:val="center"/>
      </w:pPr>
      <w:r>
        <w:rPr>
          <w:rFonts w:ascii="맑은 고딕" w:hAnsi="맑은 고딕" w:eastAsia="맑은 고딕"/>
          <w:b/>
          <w:i w:val="0"/>
          <w:sz w:val="19"/>
        </w:rPr>
        <w:t>표 14. 전환 과금에서의 목표 도달률 (MountainCar-v0, 시드 10개)</w:t>
      </w:r>
    </w:p>
    <w:p>
      <w:pPr>
        <w:keepNext/>
        <w:widowControl/>
        <w:spacing w:line="276" w:lineRule="auto" w:before="0" w:after="60"/>
        <w:jc w:val="center"/>
      </w:pPr>
      <w:r>
        <w:rPr>
          <w:rFonts w:ascii="맑은 고딕" w:hAnsi="맑은 고딕" w:eastAsia="맑은 고딕"/>
          <w:b w:val="0"/>
          <w:i/>
          <w:sz w:val="18"/>
        </w:rPr>
        <w:t>Table 14. Goal-reaching rate under per-switch cost (MountainCar-v0, 10 seeds)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계열</w:t>
            </w:r>
          </w:p>
        </w:tc>
        <w:tc>
          <w:tcPr>
            <w:tcW w:type="dxa" w:w="1296"/>
            <w:shd w:val="clear" w:color="auto" w:fill="EDEDED"/>
          </w:tcPr>
          <w:p>
            <w:pPr>
              <w:keepNext/>
              <w:spacing w:line="240" w:lineRule="auto"/>
              <w:jc w:val="center"/>
            </w:pPr>
            <w:r/>
            <w:r>
              <w:rPr>
                <w:rFonts w:ascii="맑은 고딕" w:hAnsi="맑은 고딕" w:eastAsia="맑은 고딕"/>
                <w:b/>
                <w:i w:val="0"/>
                <w:sz w:val="18"/>
              </w:rPr>
              <w:t>λ=0</w:t>
            </w:r>
          </w:p>
        </w:tc>
        <w:tc>
          <w:tcPr>
            <w:tcW w:type="dxa" w:w="1296"/>
            <w:shd w:val="clear" w:color="auto" w:fill="EDEDED"/>
          </w:tcPr>
          <w:p>
            <w:pPr>
              <w:keepNext/>
              <w:spacing w:line="240" w:lineRule="auto"/>
              <w:jc w:val="center"/>
            </w:pPr>
            <w:r/>
            <w:r>
              <w:rPr>
                <w:rFonts w:ascii="맑은 고딕" w:hAnsi="맑은 고딕" w:eastAsia="맑은 고딕"/>
                <w:b/>
                <w:i w:val="0"/>
                <w:sz w:val="18"/>
              </w:rPr>
              <w:t>λ=2</w:t>
            </w:r>
          </w:p>
        </w:tc>
        <w:tc>
          <w:tcPr>
            <w:tcW w:type="dxa" w:w="1296"/>
            <w:shd w:val="clear" w:color="auto" w:fill="EDEDED"/>
          </w:tcPr>
          <w:p>
            <w:pPr>
              <w:keepNext/>
              <w:spacing w:line="240" w:lineRule="auto"/>
              <w:jc w:val="center"/>
            </w:pPr>
            <w:r/>
            <w:r>
              <w:rPr>
                <w:rFonts w:ascii="맑은 고딕" w:hAnsi="맑은 고딕" w:eastAsia="맑은 고딕"/>
                <w:b/>
                <w:i w:val="0"/>
                <w:sz w:val="18"/>
              </w:rPr>
              <w:t>λ=5</w:t>
            </w:r>
          </w:p>
        </w:tc>
        <w:tc>
          <w:tcPr>
            <w:tcW w:type="dxa" w:w="1296"/>
            <w:shd w:val="clear" w:color="auto" w:fill="EDEDED"/>
          </w:tcPr>
          <w:p>
            <w:pPr>
              <w:keepNext/>
              <w:spacing w:line="240" w:lineRule="auto"/>
              <w:jc w:val="center"/>
            </w:pPr>
            <w:r/>
            <w:r>
              <w:rPr>
                <w:rFonts w:ascii="맑은 고딕" w:hAnsi="맑은 고딕" w:eastAsia="맑은 고딕"/>
                <w:b/>
                <w:i w:val="0"/>
                <w:sz w:val="18"/>
              </w:rPr>
              <w:t>λ=10</w:t>
            </w:r>
          </w:p>
        </w:tc>
        <w:tc>
          <w:tcPr>
            <w:tcW w:type="dxa" w:w="1296"/>
            <w:shd w:val="clear" w:color="auto" w:fill="EDEDED"/>
          </w:tcPr>
          <w:p>
            <w:pPr>
              <w:keepNext/>
              <w:spacing w:line="240" w:lineRule="auto"/>
              <w:jc w:val="center"/>
            </w:pPr>
            <w:r/>
            <w:r>
              <w:rPr>
                <w:rFonts w:ascii="맑은 고딕" w:hAnsi="맑은 고딕" w:eastAsia="맑은 고딕"/>
                <w:b/>
                <w:i w:val="0"/>
                <w:sz w:val="18"/>
              </w:rPr>
              <w:t>λ=18</w:t>
            </w:r>
          </w:p>
        </w:tc>
        <w:tc>
          <w:tcPr>
            <w:tcW w:type="dxa" w:w="1296"/>
            <w:shd w:val="clear" w:color="auto" w:fill="EDEDED"/>
          </w:tcPr>
          <w:p>
            <w:pPr>
              <w:keepNext/>
              <w:spacing w:line="240" w:lineRule="auto"/>
              <w:jc w:val="center"/>
            </w:pPr>
            <w:r/>
            <w:r>
              <w:rPr>
                <w:rFonts w:ascii="맑은 고딕" w:hAnsi="맑은 고딕" w:eastAsia="맑은 고딕"/>
                <w:b/>
                <w:i w:val="0"/>
                <w:sz w:val="18"/>
              </w:rPr>
              <w:t>λ=26</w:t>
            </w:r>
          </w:p>
        </w:tc>
      </w:tr>
      <w:tr>
        <w:trPr>
          <w:cantSplit/>
        </w:trPr>
        <w:tc>
          <w:tcPr>
            <w:tcW w:type="dxa" w:w="1296"/>
          </w:tcPr>
          <w:p>
            <w:pPr>
              <w:keepNext/>
              <w:spacing w:line="240" w:lineRule="auto"/>
              <w:jc w:val="left"/>
            </w:pPr>
            <w:r>
              <w:rPr>
                <w:rFonts w:ascii="바탕" w:hAnsi="바탕" w:eastAsia="바탕"/>
                <w:b/>
                <w:i w:val="0"/>
                <w:sz w:val="18"/>
              </w:rPr>
              <w:t>표준 DQN</w:t>
            </w:r>
          </w:p>
        </w:tc>
        <w:tc>
          <w:tcPr>
            <w:tcW w:type="dxa" w:w="1296"/>
          </w:tcPr>
          <w:p>
            <w:pPr>
              <w:keepNext/>
              <w:spacing w:line="240" w:lineRule="auto"/>
              <w:jc w:val="center"/>
            </w:pPr>
            <w:r>
              <w:rPr>
                <w:rFonts w:ascii="바탕" w:hAnsi="바탕" w:eastAsia="바탕"/>
                <w:b w:val="0"/>
                <w:i w:val="0"/>
                <w:sz w:val="18"/>
              </w:rPr>
              <w:t>58%</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r>
      <w:tr>
        <w:trPr>
          <w:cantSplit/>
        </w:trPr>
        <w:tc>
          <w:tcPr>
            <w:tcW w:type="dxa" w:w="1296"/>
          </w:tcPr>
          <w:p>
            <w:pPr>
              <w:keepNext/>
              <w:spacing w:line="240" w:lineRule="auto"/>
              <w:jc w:val="left"/>
            </w:pPr>
            <w:r>
              <w:rPr>
                <w:rFonts w:ascii="바탕" w:hAnsi="바탕" w:eastAsia="바탕"/>
                <w:b/>
                <w:i w:val="0"/>
                <w:sz w:val="18"/>
              </w:rPr>
              <w:t>TempoRL</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91%</w:t>
            </w:r>
          </w:p>
        </w:tc>
        <w:tc>
          <w:tcPr>
            <w:tcW w:type="dxa" w:w="1296"/>
          </w:tcPr>
          <w:p>
            <w:pPr>
              <w:keepNext/>
              <w:spacing w:line="240" w:lineRule="auto"/>
              <w:jc w:val="center"/>
            </w:pPr>
            <w:r>
              <w:rPr>
                <w:rFonts w:ascii="바탕" w:hAnsi="바탕" w:eastAsia="바탕"/>
                <w:b w:val="0"/>
                <w:i w:val="0"/>
                <w:sz w:val="18"/>
              </w:rPr>
              <w:t>73%</w:t>
            </w:r>
          </w:p>
        </w:tc>
        <w:tc>
          <w:tcPr>
            <w:tcW w:type="dxa" w:w="1296"/>
          </w:tcPr>
          <w:p>
            <w:pPr>
              <w:keepNext/>
              <w:spacing w:line="240" w:lineRule="auto"/>
              <w:jc w:val="center"/>
            </w:pPr>
            <w:r>
              <w:rPr>
                <w:rFonts w:ascii="바탕" w:hAnsi="바탕" w:eastAsia="바탕"/>
                <w:b w:val="0"/>
                <w:i w:val="0"/>
                <w:sz w:val="18"/>
              </w:rPr>
              <w:t>71%</w:t>
            </w:r>
          </w:p>
        </w:tc>
      </w:tr>
      <w:tr>
        <w:trPr>
          <w:cantSplit/>
        </w:trPr>
        <w:tc>
          <w:tcPr>
            <w:tcW w:type="dxa" w:w="1296"/>
          </w:tcPr>
          <w:p>
            <w:pPr>
              <w:keepNext/>
              <w:spacing w:line="240" w:lineRule="auto"/>
              <w:jc w:val="left"/>
            </w:pPr>
            <w:r>
              <w:rPr>
                <w:rFonts w:ascii="바탕" w:hAnsi="바탕" w:eastAsia="바탕"/>
                <w:b/>
                <w:i w:val="0"/>
                <w:sz w:val="18"/>
              </w:rPr>
              <w:t>Lazy-MDP</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17%</w:t>
            </w:r>
          </w:p>
        </w:tc>
        <w:tc>
          <w:tcPr>
            <w:tcW w:type="dxa" w:w="1296"/>
          </w:tcPr>
          <w:p>
            <w:pPr>
              <w:keepNext/>
              <w:spacing w:line="240" w:lineRule="auto"/>
              <w:jc w:val="center"/>
            </w:pPr>
            <w:r>
              <w:rPr>
                <w:rFonts w:ascii="바탕" w:hAnsi="바탕" w:eastAsia="바탕"/>
                <w:b w:val="0"/>
                <w:i w:val="0"/>
                <w:sz w:val="18"/>
              </w:rPr>
              <w:t>14%</w:t>
            </w:r>
          </w:p>
        </w:tc>
        <w:tc>
          <w:tcPr>
            <w:tcW w:type="dxa" w:w="1296"/>
          </w:tcPr>
          <w:p>
            <w:pPr>
              <w:keepNext/>
              <w:spacing w:line="240" w:lineRule="auto"/>
              <w:jc w:val="center"/>
            </w:pPr>
            <w:r>
              <w:rPr>
                <w:rFonts w:ascii="바탕" w:hAnsi="바탕" w:eastAsia="바탕"/>
                <w:b w:val="0"/>
                <w:i w:val="0"/>
                <w:sz w:val="18"/>
              </w:rPr>
              <w:t>8%</w:t>
            </w:r>
          </w:p>
        </w:tc>
        <w:tc>
          <w:tcPr>
            <w:tcW w:type="dxa" w:w="1296"/>
          </w:tcPr>
          <w:p>
            <w:pPr>
              <w:keepNext/>
              <w:spacing w:line="240" w:lineRule="auto"/>
              <w:jc w:val="center"/>
            </w:pPr>
            <w:r>
              <w:rPr>
                <w:rFonts w:ascii="바탕" w:hAnsi="바탕" w:eastAsia="바탕"/>
                <w:b w:val="0"/>
                <w:i w:val="0"/>
                <w:sz w:val="18"/>
              </w:rPr>
              <w:t>5%</w:t>
            </w:r>
          </w:p>
        </w:tc>
        <w:tc>
          <w:tcPr>
            <w:tcW w:type="dxa" w:w="1296"/>
          </w:tcPr>
          <w:p>
            <w:pPr>
              <w:keepNext/>
              <w:spacing w:line="240" w:lineRule="auto"/>
              <w:jc w:val="center"/>
            </w:pPr>
            <w:r>
              <w:rPr>
                <w:rFonts w:ascii="바탕" w:hAnsi="바탕" w:eastAsia="바탕"/>
                <w:b w:val="0"/>
                <w:i w:val="0"/>
                <w:sz w:val="18"/>
              </w:rPr>
              <w:t>16%</w:t>
            </w:r>
          </w:p>
        </w:tc>
      </w:tr>
      <w:tr>
        <w:trPr>
          <w:cantSplit/>
        </w:trPr>
        <w:tc>
          <w:tcPr>
            <w:tcW w:type="dxa" w:w="1296"/>
          </w:tcPr>
          <w:p>
            <w:pPr>
              <w:keepNext/>
              <w:spacing w:line="240" w:lineRule="auto"/>
              <w:jc w:val="left"/>
            </w:pPr>
            <w:r>
              <w:rPr>
                <w:rFonts w:ascii="바탕" w:hAnsi="바탕" w:eastAsia="바탕"/>
                <w:b w:val="0"/>
                <w:i w:val="0"/>
                <w:sz w:val="18"/>
              </w:rPr>
              <w:t>pump 규칙</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r>
      <w:tr>
        <w:trPr>
          <w:cantSplit/>
        </w:trPr>
        <w:tc>
          <w:tcPr>
            <w:tcW w:type="dxa" w:w="1296"/>
          </w:tcPr>
          <w:p>
            <w:pPr>
              <w:spacing w:line="240" w:lineRule="auto"/>
              <w:jc w:val="left"/>
            </w:pPr>
            <w:r>
              <w:rPr>
                <w:rFonts w:ascii="바탕" w:hAnsi="바탕" w:eastAsia="바탕"/>
                <w:b w:val="0"/>
                <w:i w:val="0"/>
                <w:sz w:val="18"/>
              </w:rPr>
              <w:t>무행동</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spacing w:line="480" w:lineRule="auto" w:before="0" w:after="0"/>
        <w:ind w:left="340" w:hanging="198"/>
      </w:pPr>
      <w:r>
        <w:rPr>
          <w:rFonts w:ascii="바탕" w:hAnsi="바탕" w:eastAsia="바탕"/>
          <w:b w:val="0"/>
          <w:i w:val="0"/>
          <w:sz w:val="20"/>
        </w:rPr>
        <w:t xml:space="preserve">· 도달률이 절반이 되는 λ가 매 스텝 과금에서는 0.0075이었는데 전환 과금에서는 2이다 — </w:t>
      </w:r>
      <w:r>
        <w:rPr>
          <w:rFonts w:ascii="바탕" w:hAnsi="바탕" w:eastAsia="바탕"/>
          <w:b/>
          <w:i w:val="0"/>
          <w:sz w:val="20"/>
        </w:rPr>
        <w:t>λ 눈금이 두 자릿수로 커졌다.</w:t>
      </w:r>
      <w:r>
        <w:rPr>
          <w:rFonts w:ascii="바탕" w:hAnsi="바탕" w:eastAsia="바탕"/>
          <w:b w:val="0"/>
          <w:i w:val="0"/>
          <w:sz w:val="20"/>
        </w:rPr>
        <w:t xml:space="preserve"> 전환은 행동보다 훨씬 드물게 일어나므로 같은 압력을 주려면 λ가 그만큼 커야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과금에서는 TempoRL만 끝까지 버틴다.</w:t>
      </w:r>
      <w:r>
        <w:rPr>
          <w:rFonts w:ascii="바탕" w:hAnsi="바탕" w:eastAsia="바탕"/>
          <w:b w:val="0"/>
          <w:i w:val="0"/>
          <w:sz w:val="20"/>
        </w:rPr>
        <w:t xml:space="preserve"> 격자 끝(λ=26)에서도 도달률 71% 아래로 내려가지 않는 반면, 표준 DQN은 λ=2에서 이미 0%가 된다. 한 번 고른 행동을 오래 유지하는 구조가 </w:t>
      </w:r>
      <w:r>
        <w:rPr>
          <w:rFonts w:ascii="바탕" w:hAnsi="바탕" w:eastAsia="바탕"/>
          <w:b/>
          <w:i w:val="0"/>
          <w:sz w:val="20"/>
        </w:rPr>
        <w:t>전환에만 값을 매기는 세상에서 곧바로 이점이 된다</w:t>
      </w:r>
      <w:r>
        <w:rPr>
          <w:rFonts w:ascii="바탕" w:hAnsi="바탕" w:eastAsia="바탕"/>
          <w:b w:val="0"/>
          <w:i w:val="0"/>
          <w:sz w:val="20"/>
        </w:rPr>
        <w:t xml:space="preserve"> — 매 스텝 과금에서는 드러나지 않던 이점이다.</w:t>
      </w:r>
    </w:p>
    <w:p>
      <w:pPr>
        <w:spacing w:line="480" w:lineRule="auto" w:before="0" w:after="0"/>
        <w:ind w:left="340" w:hanging="198"/>
      </w:pPr>
      <w:r>
        <w:rPr>
          <w:rFonts w:ascii="바탕" w:hAnsi="바탕" w:eastAsia="바탕"/>
          <w:b w:val="0"/>
          <w:i w:val="0"/>
          <w:sz w:val="20"/>
        </w:rPr>
        <w:t xml:space="preserve">· 다만 </w:t>
      </w:r>
      <w:r>
        <w:rPr>
          <w:rFonts w:ascii="바탕" w:hAnsi="바탕" w:eastAsia="바탕"/>
          <w:b/>
          <w:i w:val="0"/>
          <w:sz w:val="20"/>
        </w:rPr>
        <w:t>어느 계열도 pump 규칙을 이기지 못한다.</w:t>
      </w:r>
      <w:r>
        <w:rPr>
          <w:rFonts w:ascii="바탕" w:hAnsi="바탕" w:eastAsia="바탕"/>
          <w:b w:val="0"/>
          <w:i w:val="0"/>
          <w:sz w:val="20"/>
        </w:rPr>
        <w:t xml:space="preserve"> pump는 속도 부호가 바뀔 때만 방향을 틀어 전환이 3회뿐이라, 이 과금 방식에서 오히려 더 유리해진다. 그리고 λ가 커지면 TempoRL의 점수는 무행동 아래로 내려간다 — 버티는 것과 이득을 보는 것은 다르다.</w:t>
      </w:r>
    </w:p>
    <w:p>
      <w:pPr>
        <w:widowControl/>
        <w:spacing w:line="480" w:lineRule="auto" w:before="0" w:after="0"/>
        <w:ind w:firstLine="400"/>
        <w:jc w:val="both"/>
      </w:pPr>
      <w:r>
        <w:rPr>
          <w:rFonts w:ascii="바탕" w:hAnsi="바탕" w:eastAsia="바탕"/>
          <w:b/>
          <w:i w:val="0"/>
          <w:sz w:val="20"/>
        </w:rPr>
        <w:t>이 연구의 지도는 '매 스텝 과금'이라는 전제 위에 있다.</w:t>
      </w:r>
      <w:r>
        <w:rPr>
          <w:rFonts w:ascii="바탕" w:hAnsi="바탕" w:eastAsia="바탕"/>
          <w:b w:val="0"/>
          <w:i w:val="0"/>
          <w:sz w:val="20"/>
        </w:rPr>
        <w:t xml:space="preserve"> 전제를 바꾸면 λ 눈금뿐 아니라 </w:t>
      </w:r>
      <w:r>
        <w:rPr>
          <w:rFonts w:ascii="바탕" w:hAnsi="바탕" w:eastAsia="바탕"/>
          <w:b/>
          <w:i w:val="0"/>
          <w:sz w:val="20"/>
        </w:rPr>
        <w:t>어느 방법이 유리한지도 바뀐다.</w:t>
      </w:r>
      <w:r>
        <w:rPr>
          <w:rFonts w:ascii="바탕" w:hAnsi="바탕" w:eastAsia="바탕"/>
          <w:b w:val="0"/>
          <w:i w:val="0"/>
          <w:sz w:val="20"/>
        </w:rPr>
        <w:t xml:space="preserve"> 실무자는 자기 설비의 마모가 어느 쪽에 가까운지를 먼저 정해야 한다.</w:t>
      </w:r>
    </w:p>
    <w:p>
      <w:pPr>
        <w:widowControl/>
        <w:spacing w:line="480" w:lineRule="auto" w:before="0" w:after="0"/>
        <w:ind w:firstLine="400"/>
        <w:jc w:val="both"/>
      </w:pPr>
      <w:r>
        <w:rPr>
          <w:rFonts w:ascii="바탕" w:hAnsi="바탕" w:eastAsia="바탕"/>
          <w:b w:val="0"/>
          <w:i w:val="0"/>
          <w:sz w:val="20"/>
        </w:rPr>
        <w:t xml:space="preserve">학습 계열을 다시 재는 것은 MountainCar에서만 했지만, </w:t>
      </w:r>
      <w:r>
        <w:rPr>
          <w:rFonts w:ascii="바탕" w:hAnsi="바탕" w:eastAsia="바탕"/>
          <w:b/>
          <w:i w:val="0"/>
          <w:sz w:val="20"/>
        </w:rPr>
        <w:t>고정 규칙만이라면 세 환경 모두</w:t>
      </w:r>
      <w:r>
        <w:rPr>
          <w:rFonts w:ascii="바탕" w:hAnsi="바탕" w:eastAsia="바탕"/>
          <w:b w:val="0"/>
          <w:i w:val="0"/>
          <w:sz w:val="20"/>
        </w:rPr>
        <w:t xml:space="preserve"> 잴 수 있다. 규칙은 결정적이라 과금 횟수가 정확히 세어지기 때문이다. 무행동이 그 환경의 규칙을 이기기 시작하는 λ는 다음 한 줄로 정해지고, </w:t>
      </w:r>
      <w:r>
        <w:rPr>
          <w:rFonts w:ascii="바탕" w:hAnsi="바탕" w:eastAsia="바탕"/>
          <w:b/>
          <w:i w:val="0"/>
          <w:sz w:val="20"/>
        </w:rPr>
        <w:t>분모가 과금 방식에 따라 달라진다.</w:t>
      </w:r>
    </w:p>
    <w:p>
      <w:pPr>
        <w:jc w:val="center"/>
        <w:spacing w:before="120" w:after="120" w:line="240" w:lineRule="auto"/>
      </w:pPr>
      <m:oMathPara>
        <m:oMath>
          <m:sSub>
            <m:e>
              <m:r>
                <m:t xml:space="preserve">λ</m:t>
              </m:r>
            </m:e>
            <m:sub>
              <m:r>
                <m:t xml:space="preserve">교차</m:t>
              </m:r>
            </m:sub>
          </m:sSub>
          <m:r>
            <m:t xml:space="preserve"> = </m:t>
          </m:r>
          <m:f>
            <m:fPr>
              <m:ctrlPr/>
            </m:fPr>
            <m:num>
              <m:sSub>
                <m:e>
                  <m:r>
                    <m:t xml:space="preserve">r</m:t>
                  </m:r>
                </m:e>
                <m:sub>
                  <m:r>
                    <m:t xml:space="preserve">규칙</m:t>
                  </m:r>
                </m:sub>
              </m:sSub>
              <m:r>
                <m:t xml:space="preserve"> − </m:t>
              </m:r>
              <m:sSub>
                <m:e>
                  <m:r>
                    <m:t xml:space="preserve">r</m:t>
                  </m:r>
                </m:e>
                <m:sub>
                  <m:r>
                    <m:t xml:space="preserve">무행동</m:t>
                  </m:r>
                </m:sub>
              </m:sSub>
            </m:num>
            <m:den>
              <m:r>
                <m:t xml:space="preserve">에피소드당 과금 횟수</m:t>
              </m:r>
            </m:den>
          </m:f>
        </m:oMath>
      </m:oMathPara>
    </w:p>
    <w:p>
      <w:pPr>
        <w:keepNext/>
        <w:widowControl/>
        <w:spacing w:line="276" w:lineRule="auto" w:before="200" w:after="40"/>
        <w:jc w:val="center"/>
      </w:pPr>
      <w:r>
        <w:rPr>
          <w:rFonts w:ascii="맑은 고딕" w:hAnsi="맑은 고딕" w:eastAsia="맑은 고딕"/>
          <w:b/>
          <w:i w:val="0"/>
          <w:sz w:val="19"/>
        </w:rPr>
        <w:t>표 15.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15.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과금에서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비용을 어떻게 세는지부터 정하고, 거기에 맞는 구조를 골라라.</w:t>
      </w:r>
      <w:r>
        <w:rPr>
          <w:rFonts w:ascii="바탕" w:hAnsi="바탕" w:eastAsia="바탕"/>
          <w:b w:val="0"/>
          <w:i w:val="0"/>
          <w:sz w:val="20"/>
        </w:rPr>
        <w:t xml:space="preserve"> </w:t>
      </w:r>
      <w:r>
        <w:rPr>
          <w:rFonts w:ascii="바탕" w:hAnsi="바탕" w:eastAsia="바탕"/>
          <w:b/>
          <w:i w:val="0"/>
          <w:sz w:val="20"/>
        </w:rPr>
        <w:t>매 스텝 값이 붙는다면</w:t>
      </w:r>
      <w:r>
        <w:rPr>
          <w:rFonts w:ascii="바탕" w:hAnsi="바탕" w:eastAsia="바탕"/>
          <w:b w:val="0"/>
          <w:i w:val="0"/>
          <w:sz w:val="20"/>
        </w:rPr>
        <w:t xml:space="preserve">(작동 비용) Lazy-MDP 방식이다 — 학습이 실패해도 기본 규칙 수준으로 떨어질 뿐이어서 가장 안정적이었고, 잘 만든 규칙과 겨루었을 때도 유일하게 넓은 구간에서 이겼다. </w:t>
      </w:r>
      <w:r>
        <w:rPr>
          <w:rFonts w:ascii="바탕" w:hAnsi="바탕" w:eastAsia="바탕"/>
          <w:b/>
          <w:i w:val="0"/>
          <w:sz w:val="20"/>
        </w:rPr>
        <w:t>행동이 바뀔 때만 값이 붙는다면</w:t>
      </w:r>
      <w:r>
        <w:rPr>
          <w:rFonts w:ascii="바탕" w:hAnsi="바탕" w:eastAsia="바탕"/>
          <w:b w:val="0"/>
          <w:i w:val="0"/>
          <w:sz w:val="20"/>
        </w:rPr>
        <w:t xml:space="preserve">(전환 비용) TempoRL 방식이다 — 매 스텝 과금에서는 어디서도 이기지 못했지만, 전환 과금에서는 λ를 두 자릿수로 키워도 홀로 버텼다(Ⅳ장 9절). </w:t>
      </w:r>
      <w:r>
        <w:rPr>
          <w:rFonts w:ascii="바탕" w:hAnsi="바탕" w:eastAsia="바탕"/>
          <w:b/>
          <w:i w:val="0"/>
          <w:sz w:val="20"/>
        </w:rPr>
        <w:t>한 전제에서 진 방법을 그 자체로 약한 방법이라고 적으면 부당하다.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이 연구의 결론이 적용되는 범위를 다음과 같이 한정한다.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해석은 MountainCar 한 환경에서만 확인했다.</w:t>
      </w:r>
      <w:r>
        <w:rPr>
          <w:rFonts w:ascii="바탕" w:hAnsi="바탕" w:eastAsia="바탕"/>
          <w:b w:val="0"/>
          <w:i w:val="0"/>
          <w:sz w:val="20"/>
        </w:rPr>
        <w:t xml:space="preserve"> 이 연구의 지도는 행동이 실행되는 </w:t>
      </w:r>
      <w:r>
        <w:rPr>
          <w:rFonts w:ascii="바탕" w:hAnsi="바탕" w:eastAsia="바탕"/>
          <w:b/>
          <w:i w:val="0"/>
          <w:sz w:val="20"/>
        </w:rPr>
        <w:t>매 스텝</w:t>
      </w:r>
      <w:r>
        <w:rPr>
          <w:rFonts w:ascii="바탕" w:hAnsi="바탕" w:eastAsia="바탕"/>
          <w:b w:val="0"/>
          <w:i w:val="0"/>
          <w:sz w:val="20"/>
        </w:rPr>
        <w:t xml:space="preserve"> 비용을 무는 전제(작동 비용) 위에 있다.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그 전제를 바꾸면 어떻게 되는지를 MountainCar에서 </w:t>
      </w:r>
      <w:r>
        <w:rPr>
          <w:rFonts w:ascii="바탕" w:hAnsi="바탕" w:eastAsia="바탕"/>
          <w:b/>
          <w:i w:val="0"/>
          <w:sz w:val="20"/>
        </w:rPr>
        <w:t>학습 계열까지 다시 재어 Ⅳ장 9절에 실었다.</w:t>
      </w:r>
      <w:r>
        <w:rPr>
          <w:rFonts w:ascii="바탕" w:hAnsi="바탕" w:eastAsia="바탕"/>
          <w:b w:val="0"/>
          <w:i w:val="0"/>
          <w:sz w:val="20"/>
        </w:rPr>
        <w:t xml:space="preserve"> λ 눈금이 두 자릿수로 커질 뿐 아니라 </w:t>
      </w:r>
      <w:r>
        <w:rPr>
          <w:rFonts w:ascii="바탕" w:hAnsi="바탕" w:eastAsia="바탕"/>
          <w:b/>
          <w:i w:val="0"/>
          <w:sz w:val="20"/>
        </w:rPr>
        <w:t>어느 방법이 유리한지도 바뀐다</w:t>
      </w:r>
      <w:r>
        <w:rPr>
          <w:rFonts w:ascii="바탕" w:hAnsi="바탕" w:eastAsia="바탕"/>
          <w:b w:val="0"/>
          <w:i w:val="0"/>
          <w:sz w:val="20"/>
        </w:rPr>
        <w:t xml:space="preserve"> — 전환에만 값을 매기면 한 행동을 오래 유지하는 TempoRL이 홀로 끝까지 버틴다. 눈금이 왜 그렇게 커지는지(무행동이 최고 규칙을 이기기 시작하는 λ가 과금 횟수로 나뉜다는 것)와 세 환경의 배율은 </w:t>
      </w:r>
      <w:r>
        <w:rPr>
          <w:rFonts w:ascii="바탕" w:hAnsi="바탕" w:eastAsia="바탕"/>
          <w:b/>
          <w:i w:val="0"/>
          <w:sz w:val="20"/>
        </w:rPr>
        <w:t>Ⅳ장 9절 끝의 식과 표 15</w:t>
      </w:r>
      <w:r>
        <w:rPr>
          <w:rFonts w:ascii="바탕" w:hAnsi="바탕" w:eastAsia="바탕"/>
          <w:b w:val="0"/>
          <w:i w:val="0"/>
          <w:sz w:val="20"/>
        </w:rPr>
        <w:t>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Lazy-MDP의 기본 정책을 두 가지만 시험했다.</w:t>
      </w:r>
      <w:r>
        <w:rPr>
          <w:rFonts w:ascii="바탕" w:hAnsi="바탕" w:eastAsia="바탕"/>
          <w:b w:val="0"/>
          <w:i w:val="0"/>
          <w:sz w:val="20"/>
        </w:rPr>
        <w:t xml:space="preserve"> 처음 손으로 짠 규칙과 계수를 다시 고른 규칙, 둘뿐이다. 더 좋은 기본 정책을 주면 Lazy도 좋아지리라는 기대는 확인되지 않았고 (Ⅳ장 8절), 오히려 통계적 우위가 사라지는 지점이 앞당겨졌다. 다만 신뢰구간이 대부분 겹치므로 </w:t>
      </w:r>
      <w:r>
        <w:rPr>
          <w:rFonts w:ascii="바탕" w:hAnsi="바탕" w:eastAsia="바탕"/>
          <w:b/>
          <w:i w:val="0"/>
          <w:sz w:val="20"/>
        </w:rPr>
        <w:t>'좋은 기본 정책이 해롭다'고 말할 수는 없다</w:t>
      </w:r>
      <w:r>
        <w:rPr>
          <w:rFonts w:ascii="바탕" w:hAnsi="바탕" w:eastAsia="바탕"/>
          <w:b w:val="0"/>
          <w:i w:val="0"/>
          <w:sz w:val="20"/>
        </w:rPr>
        <w:t xml:space="preserve"> — 이 축을 더 넓게 훑어야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나머지 두 환경으로 확장한다.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line="240" w:lineRule="auto"/>
      </w:pPr>
      <w:r>
        <w:rPr>
          <w:vertAlign w:val="superscript"/>
        </w:rPr>
        <w:footnoteRef/>
      </w:r>
      <w:r>
        <w:rPr>
          <w:rFonts w:ascii="바탕" w:eastAsia="바탕" w:hAnsi="바탕"/>
          <w:sz w:val="18"/>
        </w:rPr>
        <w:t xml:space="preserve"> 전체 코드·설정·실험일지·집계 결과는 github.com/hyeseongjeon5-png/when-to-act-rl 에 공개되어 있다.</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