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매 스텝 새 행동을 뽑는 표준 ε-greedy 탐험의 목표 도달률은 </w:t>
      </w:r>
      <w:r>
        <w:rPr>
          <w:rFonts w:ascii="바탕" w:hAnsi="바탕" w:eastAsia="바탕"/>
          <w:b/>
          <w:i w:val="0"/>
          <w:sz w:val="20"/>
        </w:rPr>
        <w:t>0.0%</w:t>
      </w:r>
      <w:r>
        <w:rPr>
          <w:rFonts w:ascii="바탕" w:hAnsi="바탕" w:eastAsia="바탕"/>
          <w:b w:val="0"/>
          <w:i w:val="0"/>
          <w:sz w:val="20"/>
        </w:rPr>
        <w:t>였다(500 에피소드). 같은 행동을 4스텝 유지하면 0.2%, 8스텝이면 1.6%, 16스텝이면 9.8%로 올라갔다.</w:t>
      </w:r>
    </w:p>
    <w:p>
      <w:pPr>
        <w:spacing w:line="480" w:lineRule="auto" w:before="0" w:after="0"/>
        <w:ind w:firstLine="200"/>
        <w:jc w:val="both"/>
      </w:pPr>
      <w:r>
        <w:rPr>
          <w:rFonts w:ascii="바탕" w:hAnsi="바탕" w:eastAsia="바탕"/>
          <w:b w:val="0"/>
          <w:i w:val="0"/>
          <w:sz w:val="20"/>
        </w:rPr>
        <w:t xml:space="preserve">시간제한을 300·500·1000스텝으로 늘려도 매 스텝 무작위의 도달률은 여전히 0.0%였다(각 300 에피소드). 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2</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 xml:space="preserve">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-163 [-200, -125]</w:t>
            </w:r>
          </w:p>
        </w:tc>
        <w:tc>
          <w:tcPr>
            <w:tcW w:type="dxa" w:w="1512"/>
          </w:tcPr>
          <w:p>
            <w:pPr>
              <w:spacing w:line="240" w:lineRule="auto"/>
              <w:jc w:val="center"/>
            </w:pPr>
            <w:r>
              <w:rPr>
                <w:rFonts w:ascii="바탕" w:hAnsi="바탕" w:eastAsia="바탕"/>
                <w:b w:val="0"/>
                <w:i w:val="0"/>
                <w:sz w:val="18"/>
              </w:rPr>
              <w:t>-179 [-179, -179]</w:t>
            </w:r>
          </w:p>
        </w:tc>
        <w:tc>
          <w:tcPr>
            <w:tcW w:type="dxa" w:w="1512"/>
          </w:tcPr>
          <w:p>
            <w:pPr>
              <w:spacing w:line="240" w:lineRule="auto"/>
              <w:jc w:val="center"/>
            </w:pPr>
            <w:r>
              <w:rPr>
                <w:rFonts w:ascii="바탕" w:hAnsi="바탕" w:eastAsia="바탕"/>
                <w:b w:val="0"/>
                <w:i w:val="0"/>
                <w:sz w:val="18"/>
              </w:rPr>
              <w:t>-163 [-163, -163]</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-139 [-156, -122]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-173 [-173, -173]</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-150 [-162, -139]</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-119 [-119,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-150 [-170, -130]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-126 [-126, -126]</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-201 [-201, -200]</w:t>
            </w:r>
          </w:p>
        </w:tc>
        <w:tc>
          <w:tcPr>
            <w:tcW w:type="dxa" w:w="1512"/>
          </w:tcPr>
          <w:p>
            <w:pPr>
              <w:spacing w:line="240" w:lineRule="auto"/>
              <w:jc w:val="center"/>
            </w:pPr>
            <w:r>
              <w:rPr>
                <w:rFonts w:ascii="바탕" w:hAnsi="바탕" w:eastAsia="바탕"/>
                <w:b w:val="0"/>
                <w:i w:val="0"/>
                <w:sz w:val="18"/>
              </w:rPr>
              <w:t>-154 [-154, -154]</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179</w:t>
            </w:r>
          </w:p>
        </w:tc>
        <w:tc>
          <w:tcPr>
            <w:tcW w:type="dxa" w:w="1512"/>
          </w:tcPr>
          <w:p>
            <w:pPr>
              <w:spacing w:line="240" w:lineRule="auto"/>
              <w:jc w:val="center"/>
            </w:pPr>
            <w:r>
              <w:rPr>
                <w:rFonts w:ascii="바탕" w:hAnsi="바탕" w:eastAsia="바탕"/>
                <w:b w:val="0"/>
                <w:i w:val="0"/>
                <w:sz w:val="18"/>
              </w:rPr>
              <w:t>163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106</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146</w:t>
            </w:r>
          </w:p>
        </w:tc>
        <w:tc>
          <w:tcPr>
            <w:tcW w:type="dxa" w:w="1512"/>
          </w:tcPr>
          <w:p>
            <w:pPr>
              <w:spacing w:line="240" w:lineRule="auto"/>
              <w:jc w:val="center"/>
            </w:pPr>
            <w:r>
              <w:rPr>
                <w:rFonts w:ascii="바탕" w:hAnsi="바탕" w:eastAsia="바탕"/>
                <w:b w:val="0"/>
                <w:i w:val="0"/>
                <w:sz w:val="18"/>
              </w:rPr>
              <w:t>11</w:t>
            </w:r>
          </w:p>
        </w:tc>
        <w:tc>
          <w:tcPr>
            <w:tcW w:type="dxa" w:w="1512"/>
          </w:tcPr>
          <w:p>
            <w:pPr>
              <w:spacing w:line="240" w:lineRule="auto"/>
              <w:jc w:val="center"/>
            </w:pPr>
            <w:r>
              <w:rPr>
                <w:rFonts w:ascii="바탕" w:hAnsi="바탕" w:eastAsia="바탕"/>
                <w:b w:val="0"/>
                <w:i w:val="0"/>
                <w:sz w:val="18"/>
              </w:rPr>
              <w:t>118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146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124</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95</w:t>
            </w:r>
          </w:p>
        </w:tc>
        <w:tc>
          <w:tcPr>
            <w:tcW w:type="dxa" w:w="1512"/>
          </w:tcPr>
          <w:p>
            <w:pPr>
              <w:spacing w:line="240" w:lineRule="auto"/>
              <w:jc w:val="center"/>
            </w:pPr>
            <w:r>
              <w:rPr>
                <w:rFonts w:ascii="바탕" w:hAnsi="바탕" w:eastAsia="바탕"/>
                <w:b w:val="0"/>
                <w:i w:val="0"/>
                <w:sz w:val="18"/>
              </w:rPr>
              <w:t>150</w:t>
            </w:r>
          </w:p>
        </w:tc>
        <w:tc>
          <w:tcPr>
            <w:tcW w:type="dxa" w:w="1512"/>
          </w:tcPr>
          <w:p>
            <w:pPr>
              <w:spacing w:line="240" w:lineRule="auto"/>
              <w:jc w:val="center"/>
            </w:pPr>
            <w:r>
              <w:rPr>
                <w:rFonts w:ascii="바탕" w:hAnsi="바탕" w:eastAsia="바탕"/>
                <w:b w:val="0"/>
                <w:i w:val="0"/>
                <w:sz w:val="18"/>
              </w:rPr>
              <w:t>67</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480" w:lineRule="auto" w:before="0" w:after="0"/>
        <w:ind w:left="340" w:hanging="198"/>
      </w:pPr>
      <w:r>
        <w:rPr>
          <w:rFonts w:ascii="바탕" w:hAnsi="바탕" w:eastAsia="바탕"/>
          <w:b w:val="0"/>
          <w:i w:val="0"/>
          <w:sz w:val="20"/>
        </w:rPr>
        <w:t>· 표준 DQN: 행동 횟수가 절반 아래로 떨어지는 첫 λ = 0.01, 완전히 0이 되는 첫 λ = 0.03</w:t>
      </w:r>
    </w:p>
    <w:p>
      <w:pPr>
        <w:spacing w:line="480" w:lineRule="auto" w:before="0" w:after="0"/>
        <w:ind w:left="340" w:hanging="198"/>
      </w:pPr>
      <w:r>
        <w:rPr>
          <w:rFonts w:ascii="바탕" w:hAnsi="바탕" w:eastAsia="바탕"/>
          <w:b w:val="0"/>
          <w:i w:val="0"/>
          <w:sz w:val="20"/>
        </w:rPr>
        <w:t>· TempoRL: 행동 횟수가 절반 아래로 떨어지는 첫 λ = 0.003, 완전히 0이 되는 첫 λ = 0.005</w:t>
      </w:r>
    </w:p>
    <w:p>
      <w:pPr>
        <w:spacing w:line="480" w:lineRule="auto" w:before="0" w:after="0"/>
        <w:ind w:left="340" w:hanging="198"/>
      </w:pPr>
      <w:r>
        <w:rPr>
          <w:rFonts w:ascii="바탕" w:hAnsi="바탕" w:eastAsia="바탕"/>
          <w:b w:val="0"/>
          <w:i w:val="0"/>
          <w:sz w:val="20"/>
        </w:rPr>
        <w:t>· Lazy-MDP: 행동 횟수가 절반 아래로 떨어지는 첫 λ = 0.05, 완전히 0이 되는 첫 λ = 0.2</w:t>
      </w:r>
    </w:p>
    <w:p>
      <w:pPr>
        <w:spacing w:line="480" w:lineRule="auto" w:before="0" w:after="0"/>
        <w:ind w:firstLine="200"/>
        <w:jc w:val="both"/>
      </w:pPr>
      <w:r>
        <w:rPr>
          <w:rFonts w:ascii="바탕" w:hAnsi="바탕" w:eastAsia="바탕"/>
          <w:b w:val="0"/>
          <w:i w:val="0"/>
          <w:sz w:val="20"/>
        </w:rPr>
        <w:t>이 문턱은 에피소드 보상 규모에 견주면 매우 작다. MountainCar의 한 에피소드 보상은 −200에서 −120 사이인데, 행동 1번의 값이 그 1% 수준만 되어도 학습은 행동을 포기한다.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7.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7.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35.8</w:t>
            </w:r>
          </w:p>
        </w:tc>
        <w:tc>
          <w:tcPr>
            <w:tcW w:type="dxa" w:w="1361"/>
          </w:tcPr>
          <w:p>
            <w:pPr>
              <w:spacing w:line="240" w:lineRule="auto"/>
              <w:jc w:val="center"/>
            </w:pPr>
            <w:r>
              <w:rPr>
                <w:rFonts w:ascii="바탕" w:hAnsi="바탕" w:eastAsia="바탕"/>
                <w:b w:val="0"/>
                <w:i w:val="0"/>
                <w:sz w:val="18"/>
              </w:rPr>
              <w:t>[34.3, 37.6]</w:t>
            </w:r>
          </w:p>
        </w:tc>
        <w:tc>
          <w:tcPr>
            <w:tcW w:type="dxa" w:w="794"/>
          </w:tcPr>
          <w:p>
            <w:pPr>
              <w:spacing w:line="240" w:lineRule="auto"/>
              <w:jc w:val="center"/>
            </w:pPr>
            <w:r>
              <w:rPr>
                <w:rFonts w:ascii="바탕" w:hAnsi="바탕" w:eastAsia="바탕"/>
                <w:b/>
                <w:i w:val="0"/>
                <w:sz w:val="18"/>
              </w:rPr>
              <w:t>100%</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r>
    </w:p>
    <w:p>
      <w:pPr>
        <w:spacing w:line="276" w:lineRule="auto" w:before="0" w:after="60"/>
        <w:jc w:val="center"/>
      </w:pPr>
      <w:r>
        <w:rPr>
          <w:rFonts w:ascii="맑은 고딕" w:hAnsi="맑은 고딕" w:eastAsia="맑은 고딕"/>
          <w:b w:val="0"/>
          <w:i/>
          <w:sz w:val="18"/>
        </w:rPr>
      </w:r>
    </w:p>
    <w:tbl>
      <w:tblPr>
        <w:tblStyle w:val="TableGrid"/>
        <w:tblW w:type="auto" w:w="0"/>
        <w:jc w:val="center"/>
        <w:tblLook w:firstColumn="1" w:firstRow="1" w:lastColumn="0" w:lastRow="0" w:noHBand="0" w:noVBand="1" w:val="04A0"/>
      </w:tblPr>
      <w:tblGrid>
        <w:gridCol w:w="9072"/>
      </w:tblGrid>
      <w:tr>
        <w:tc>
          <w:tcPr>
            <w:tcW w:type="dxa" w:w="9072"/>
            <w:shd w:val="clear" w:color="auto" w:fill="EDEDED"/>
          </w:tcPr>
          <w:p>
            <w:pPr>
              <w:spacing w:line="240" w:lineRule="auto"/>
              <w:jc w:val="center"/>
            </w:pPr>
            <w:r/>
            <w:r>
              <w:rPr>
                <w:rFonts w:ascii="맑은 고딕" w:hAnsi="맑은 고딕" w:eastAsia="맑은 고딕"/>
                <w:b/>
                <w:i w:val="0"/>
                <w:sz w:val="18"/>
              </w:rPr>
              <w:t>How the λ scale shifts when the cost model changes (fixed rules, 100 episodes) --&gt;</w:t>
            </w:r>
          </w:p>
        </w:tc>
      </w:tr>
      <w:tr>
        <w:tc>
          <w:tcPr>
            <w:tcW w:type="dxa" w:w="9072"/>
          </w:tcPr>
          <w:p>
            <w:pPr>
              <w:spacing w:line="240" w:lineRule="auto"/>
              <w:jc w:val="left"/>
            </w:pPr>
            <w:r>
              <w:rPr>
                <w:rFonts w:ascii="바탕" w:hAnsi="바탕" w:eastAsia="바탕"/>
                <w:b w:val="0"/>
                <w:i w:val="0"/>
                <w:sz w:val="18"/>
              </w:rPr>
              <w:t>---</w:t>
            </w:r>
          </w:p>
        </w:tc>
      </w:tr>
      <w:tr>
        <w:tc>
          <w:tcPr>
            <w:tcW w:type="dxa" w:w="9072"/>
          </w:tcPr>
          <w:p>
            <w:pPr>
              <w:spacing w:line="240" w:lineRule="auto"/>
              <w:jc w:val="left"/>
            </w:pPr>
            <w:r>
              <w:rPr>
                <w:rFonts w:ascii="바탕" w:hAnsi="바탕" w:eastAsia="바탕"/>
                <w:b w:val="0"/>
                <w:i w:val="0"/>
                <w:sz w:val="18"/>
              </w:rPr>
              <w:t>MountainCar / pump</w:t>
            </w:r>
          </w:p>
        </w:tc>
      </w:tr>
      <w:tr>
        <w:tc>
          <w:tcPr>
            <w:tcW w:type="dxa" w:w="9072"/>
          </w:tcPr>
          <w:p>
            <w:pPr>
              <w:spacing w:line="240" w:lineRule="auto"/>
              <w:jc w:val="left"/>
            </w:pPr>
            <w:r>
              <w:rPr>
                <w:rFonts w:ascii="바탕" w:hAnsi="바탕" w:eastAsia="바탕"/>
                <w:b w:val="0"/>
                <w:i w:val="0"/>
                <w:sz w:val="18"/>
              </w:rPr>
              <w:t>LunarLander / 임계값</w:t>
            </w:r>
          </w:p>
        </w:tc>
      </w:tr>
      <w:tr>
        <w:tc>
          <w:tcPr>
            <w:tcW w:type="dxa" w:w="9072"/>
          </w:tcPr>
          <w:p>
            <w:pPr>
              <w:spacing w:line="240" w:lineRule="auto"/>
              <w:jc w:val="left"/>
            </w:pPr>
            <w:r>
              <w:rPr>
                <w:rFonts w:ascii="바탕" w:hAnsi="바탕" w:eastAsia="바탕"/>
                <w:b w:val="0"/>
                <w:i w:val="0"/>
                <w:sz w:val="18"/>
              </w:rPr>
              <w:t>MinAtar Freeway / 신중</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