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7</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7~10개까지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-163 [-194, -132]</w:t>
            </w:r>
          </w:p>
        </w:tc>
        <w:tc>
          <w:tcPr>
            <w:tcW w:type="dxa" w:w="1512"/>
          </w:tcPr>
          <w:p>
            <w:pPr>
              <w:spacing w:line="240" w:lineRule="auto"/>
              <w:jc w:val="center"/>
            </w:pPr>
            <w:r>
              <w:rPr>
                <w:rFonts w:ascii="바탕" w:hAnsi="바탕" w:eastAsia="바탕"/>
                <w:b w:val="0"/>
                <w:i w:val="0"/>
                <w:sz w:val="18"/>
              </w:rPr>
              <w:t>-147 [-176, -129]</w:t>
            </w:r>
          </w:p>
        </w:tc>
        <w:tc>
          <w:tcPr>
            <w:tcW w:type="dxa" w:w="1512"/>
          </w:tcPr>
          <w:p>
            <w:pPr>
              <w:spacing w:line="240" w:lineRule="auto"/>
              <w:jc w:val="center"/>
            </w:pPr>
            <w:r>
              <w:rPr>
                <w:rFonts w:ascii="바탕" w:hAnsi="바탕" w:eastAsia="바탕"/>
                <w:b w:val="0"/>
                <w:i w:val="0"/>
                <w:sz w:val="18"/>
              </w:rPr>
              <w:t>-158 [-188, -130]</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-163 [-191, -132]</w:t>
            </w:r>
          </w:p>
        </w:tc>
        <w:tc>
          <w:tcPr>
            <w:tcW w:type="dxa" w:w="1512"/>
          </w:tcPr>
          <w:p>
            <w:pPr>
              <w:spacing w:line="240" w:lineRule="auto"/>
              <w:jc w:val="center"/>
            </w:pPr>
            <w:r>
              <w:rPr>
                <w:rFonts w:ascii="바탕" w:hAnsi="바탕" w:eastAsia="바탕"/>
                <w:b w:val="0"/>
                <w:i w:val="0"/>
                <w:sz w:val="18"/>
              </w:rPr>
              <w:t>-175 [-200, -148]</w:t>
            </w:r>
          </w:p>
        </w:tc>
        <w:tc>
          <w:tcPr>
            <w:tcW w:type="dxa" w:w="1512"/>
          </w:tcPr>
          <w:p>
            <w:pPr>
              <w:spacing w:line="240" w:lineRule="auto"/>
              <w:jc w:val="center"/>
            </w:pPr>
            <w:r>
              <w:rPr>
                <w:rFonts w:ascii="바탕" w:hAnsi="바탕" w:eastAsia="바탕"/>
                <w:b w:val="0"/>
                <w:i w:val="0"/>
                <w:sz w:val="18"/>
              </w:rPr>
              <w:t>-149 [-167, -129]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-163 [-192, -133]</w:t>
            </w:r>
          </w:p>
        </w:tc>
        <w:tc>
          <w:tcPr>
            <w:tcW w:type="dxa" w:w="1512"/>
          </w:tcPr>
          <w:p>
            <w:pPr>
              <w:spacing w:line="240" w:lineRule="auto"/>
              <w:jc w:val="center"/>
            </w:pPr>
            <w:r>
              <w:rPr>
                <w:rFonts w:ascii="바탕" w:hAnsi="바탕" w:eastAsia="바탕"/>
                <w:b w:val="0"/>
                <w:i w:val="0"/>
                <w:sz w:val="18"/>
              </w:rPr>
              <w:t>-161 [-187, -137]</w:t>
            </w:r>
          </w:p>
        </w:tc>
        <w:tc>
          <w:tcPr>
            <w:tcW w:type="dxa" w:w="1512"/>
          </w:tcPr>
          <w:p>
            <w:pPr>
              <w:spacing w:line="240" w:lineRule="auto"/>
              <w:jc w:val="center"/>
            </w:pPr>
            <w:r>
              <w:rPr>
                <w:rFonts w:ascii="바탕" w:hAnsi="바탕" w:eastAsia="바탕"/>
                <w:b w:val="0"/>
                <w:i w:val="0"/>
                <w:sz w:val="18"/>
              </w:rPr>
              <w:t>-142 [-179, -114]</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-166 [-200, -130]</w:t>
            </w:r>
          </w:p>
        </w:tc>
        <w:tc>
          <w:tcPr>
            <w:tcW w:type="dxa" w:w="1512"/>
          </w:tcPr>
          <w:p>
            <w:pPr>
              <w:spacing w:line="240" w:lineRule="auto"/>
              <w:jc w:val="center"/>
            </w:pPr>
            <w:r>
              <w:rPr>
                <w:rFonts w:ascii="바탕" w:hAnsi="바탕" w:eastAsia="바탕"/>
                <w:b w:val="0"/>
                <w:i w:val="0"/>
                <w:sz w:val="18"/>
              </w:rPr>
              <w:t>-143 [-170, -129]</w:t>
            </w:r>
          </w:p>
        </w:tc>
        <w:tc>
          <w:tcPr>
            <w:tcW w:type="dxa" w:w="1512"/>
          </w:tcPr>
          <w:p>
            <w:pPr>
              <w:spacing w:line="240" w:lineRule="auto"/>
              <w:jc w:val="center"/>
            </w:pPr>
            <w:r>
              <w:rPr>
                <w:rFonts w:ascii="바탕" w:hAnsi="바탕" w:eastAsia="바탕"/>
                <w:b w:val="0"/>
                <w:i w:val="0"/>
                <w:sz w:val="18"/>
              </w:rPr>
              <w:t>-137 [-170, -121]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-165]</w:t>
            </w:r>
          </w:p>
        </w:tc>
        <w:tc>
          <w:tcPr>
            <w:tcW w:type="dxa" w:w="1512"/>
          </w:tcPr>
          <w:p>
            <w:pPr>
              <w:spacing w:line="240" w:lineRule="auto"/>
              <w:jc w:val="center"/>
            </w:pPr>
            <w:r>
              <w:rPr>
                <w:rFonts w:ascii="바탕" w:hAnsi="바탕" w:eastAsia="바탕"/>
                <w:b w:val="0"/>
                <w:i w:val="0"/>
                <w:sz w:val="18"/>
              </w:rPr>
              <w:t>-179 [-200, -158]</w:t>
            </w:r>
          </w:p>
        </w:tc>
        <w:tc>
          <w:tcPr>
            <w:tcW w:type="dxa" w:w="1512"/>
          </w:tcPr>
          <w:p>
            <w:pPr>
              <w:spacing w:line="240" w:lineRule="auto"/>
              <w:jc w:val="center"/>
            </w:pPr>
            <w:r>
              <w:rPr>
                <w:rFonts w:ascii="바탕" w:hAnsi="바탕" w:eastAsia="바탕"/>
                <w:b w:val="0"/>
                <w:i w:val="0"/>
                <w:sz w:val="18"/>
              </w:rPr>
              <w:t>-176 [-201, -144]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114</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112</w:t>
            </w:r>
          </w:p>
        </w:tc>
        <w:tc>
          <w:tcPr>
            <w:tcW w:type="dxa" w:w="1512"/>
          </w:tcPr>
          <w:p>
            <w:pPr>
              <w:spacing w:line="240" w:lineRule="auto"/>
              <w:jc w:val="center"/>
            </w:pPr>
            <w:r>
              <w:rPr>
                <w:rFonts w:ascii="바탕" w:hAnsi="바탕" w:eastAsia="바탕"/>
                <w:b w:val="0"/>
                <w:i w:val="0"/>
                <w:sz w:val="18"/>
              </w:rPr>
              <w:t>136</w:t>
            </w:r>
          </w:p>
        </w:tc>
        <w:tc>
          <w:tcPr>
            <w:tcW w:type="dxa" w:w="1512"/>
          </w:tcPr>
          <w:p>
            <w:pPr>
              <w:spacing w:line="240" w:lineRule="auto"/>
              <w:jc w:val="center"/>
            </w:pPr>
            <w:r>
              <w:rPr>
                <w:rFonts w:ascii="바탕" w:hAnsi="바탕" w:eastAsia="바탕"/>
                <w:b w:val="0"/>
                <w:i w:val="0"/>
                <w:sz w:val="18"/>
              </w:rPr>
              <w:t>89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0.002</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w:t>
      </w:r>
    </w:p>
    <w:p>
      <w:pPr>
        <w:spacing w:line="276" w:lineRule="auto" w:before="0" w:after="60"/>
        <w:jc w:val="center"/>
      </w:pPr>
      <w:r>
        <w:rPr>
          <w:rFonts w:ascii="맑은 고딕" w:hAnsi="맑은 고딕" w:eastAsia="맑은 고딕"/>
          <w:b w:val="0"/>
          <w:i/>
          <w:sz w:val="18"/>
        </w:rPr>
        <w:t>Table 9. Re-selecting the coefficients of each baseline rule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