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5CC67D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下面是在您原有思路基础上，按学术论文规范进行的系统化重写与扩展。保留模型核心设定，同时加强现实意义、机制细化与可检验性描述，便于后续论文撰写与复现实验。</w:t>
      </w:r>
    </w:p>
    <w:p w14:paraId="4E378DE3" w14:textId="77777777" w:rsidR="00C44E49" w:rsidRDefault="00C44E49" w:rsidP="00C44E49">
      <w:pPr>
        <w:rPr>
          <w:rFonts w:hint="eastAsia"/>
        </w:rPr>
      </w:pPr>
    </w:p>
    <w:p w14:paraId="444B2D8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模型概述与现实意义</w:t>
      </w:r>
    </w:p>
    <w:p w14:paraId="131F969A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本文构建了一个面向保险市场的基于主体的模型（</w:t>
      </w:r>
      <w:r>
        <w:rPr>
          <w:rFonts w:hint="eastAsia"/>
        </w:rPr>
        <w:t>Agent-Based Model, ABM</w:t>
      </w:r>
      <w:r>
        <w:rPr>
          <w:rFonts w:hint="eastAsia"/>
        </w:rPr>
        <w:t>），以刻画在系统性风险冲击下，政府监管、保险公司与投保个体之间的相互作用机制，重点呈现以下现实问题：</w:t>
      </w:r>
    </w:p>
    <w:p w14:paraId="3DE148A5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系统性冲击如何经由投保</w:t>
      </w:r>
      <w:proofErr w:type="gramStart"/>
      <w:r>
        <w:rPr>
          <w:rFonts w:hint="eastAsia"/>
        </w:rPr>
        <w:t>端需求</w:t>
      </w:r>
      <w:proofErr w:type="gramEnd"/>
      <w:r>
        <w:rPr>
          <w:rFonts w:hint="eastAsia"/>
        </w:rPr>
        <w:t>与理赔端现金流约束传导至保险公司资产负债表</w:t>
      </w:r>
    </w:p>
    <w:p w14:paraId="06ACAC59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偿付能力监管与投资限制如何影响公司承保与资产配置决策</w:t>
      </w:r>
    </w:p>
    <w:p w14:paraId="295C93F9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流动性压力下的减价抛售如何放大损失并引发二次冲击</w:t>
      </w:r>
    </w:p>
    <w:p w14:paraId="5FA56F6D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市场进入与退出机制如何影响竞争格局与产品价格</w:t>
      </w:r>
    </w:p>
    <w:p w14:paraId="68B09CBC" w14:textId="77777777" w:rsidR="00C44E49" w:rsidRDefault="00C44E49" w:rsidP="00C44E49">
      <w:pPr>
        <w:rPr>
          <w:rFonts w:hint="eastAsia"/>
        </w:rPr>
      </w:pPr>
    </w:p>
    <w:p w14:paraId="5A79C6F7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主体与行为</w:t>
      </w:r>
    </w:p>
    <w:p w14:paraId="0CD2D670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政府</w:t>
      </w:r>
      <w:r>
        <w:rPr>
          <w:rFonts w:hint="eastAsia"/>
        </w:rPr>
        <w:t>/</w:t>
      </w:r>
      <w:r>
        <w:rPr>
          <w:rFonts w:hint="eastAsia"/>
        </w:rPr>
        <w:t>监管者：设定偿付能力监管与投资限制，实施接管与市场准入。</w:t>
      </w:r>
    </w:p>
    <w:p w14:paraId="0F793EF6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保险公司：开展承保与投资两类业务，在流动性约束下进行跨期最优化与被动处置。</w:t>
      </w:r>
    </w:p>
    <w:p w14:paraId="397126A7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个体投保人：在价格与偏好驱动下进行公司选择和投保决策。</w:t>
      </w:r>
    </w:p>
    <w:p w14:paraId="44E4B2DA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外部环境：通过宏观因子驱动收益与赔付的系统性冲击。</w:t>
      </w:r>
    </w:p>
    <w:p w14:paraId="14AE3B67" w14:textId="77777777" w:rsidR="00C44E49" w:rsidRDefault="00C44E49" w:rsidP="00C44E49">
      <w:pPr>
        <w:rPr>
          <w:rFonts w:hint="eastAsia"/>
        </w:rPr>
      </w:pPr>
    </w:p>
    <w:p w14:paraId="7B298899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036A5FE7" w14:textId="77777777" w:rsidR="00C44E49" w:rsidRDefault="00C44E49" w:rsidP="00C44E49">
      <w:pPr>
        <w:rPr>
          <w:rFonts w:hint="eastAsia"/>
        </w:rPr>
      </w:pPr>
    </w:p>
    <w:p w14:paraId="22EDE06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外部环境与系统性冲击</w:t>
      </w:r>
    </w:p>
    <w:p w14:paraId="1AC5E3A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宏观因子：设定一组宏观状态变量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</w:t>
      </w:r>
      <w:proofErr w:type="spellEnd"/>
      <w:r>
        <w:rPr>
          <w:rFonts w:hint="eastAsia"/>
        </w:rPr>
        <w:t>（如利率水平、风险溢价、市场波动率、增长预期），驱动资产收益分布与赔付强度。</w:t>
      </w:r>
    </w:p>
    <w:p w14:paraId="34BC0FA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系统性风险冲击：在投保</w:t>
      </w:r>
      <w:proofErr w:type="gramStart"/>
      <w:r>
        <w:rPr>
          <w:rFonts w:hint="eastAsia"/>
        </w:rPr>
        <w:t>端表现</w:t>
      </w:r>
      <w:proofErr w:type="gramEnd"/>
      <w:r>
        <w:rPr>
          <w:rFonts w:hint="eastAsia"/>
        </w:rPr>
        <w:t>为投保需求的骤降或风险厌恶上升，在资产市场表现为风险资产价格下跌与交易深度下降，在赔付</w:t>
      </w:r>
      <w:proofErr w:type="gramStart"/>
      <w:r>
        <w:rPr>
          <w:rFonts w:hint="eastAsia"/>
        </w:rPr>
        <w:t>端表现</w:t>
      </w:r>
      <w:proofErr w:type="gramEnd"/>
      <w:r>
        <w:rPr>
          <w:rFonts w:hint="eastAsia"/>
        </w:rPr>
        <w:t>为赔付频率或严重度的上行偏离。</w:t>
      </w:r>
    </w:p>
    <w:p w14:paraId="2DB26A04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冲击类型与到达过程：可设定为</w:t>
      </w:r>
    </w:p>
    <w:p w14:paraId="3099F33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lastRenderedPageBreak/>
        <w:t xml:space="preserve">  - </w:t>
      </w:r>
      <w:r>
        <w:rPr>
          <w:rFonts w:hint="eastAsia"/>
        </w:rPr>
        <w:t>罕见大冲击（泊松到达，重尾分布）</w:t>
      </w:r>
    </w:p>
    <w:p w14:paraId="1D13938B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中等频率中等幅度冲击（马尔可夫状态转换）</w:t>
      </w:r>
    </w:p>
    <w:p w14:paraId="130FEED3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持续</w:t>
      </w:r>
      <w:proofErr w:type="gramStart"/>
      <w:r>
        <w:rPr>
          <w:rFonts w:hint="eastAsia"/>
        </w:rPr>
        <w:t>型压力</w:t>
      </w:r>
      <w:proofErr w:type="gramEnd"/>
      <w:r>
        <w:rPr>
          <w:rFonts w:hint="eastAsia"/>
        </w:rPr>
        <w:t>情景（宏观状态持久偏离均值）</w:t>
      </w:r>
    </w:p>
    <w:p w14:paraId="6549D863" w14:textId="77777777" w:rsidR="00C44E49" w:rsidRDefault="00C44E49" w:rsidP="00C44E49">
      <w:pPr>
        <w:rPr>
          <w:rFonts w:hint="eastAsia"/>
        </w:rPr>
      </w:pPr>
    </w:p>
    <w:p w14:paraId="5CFF2F98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现实意义：将冲击直连到保费收入、赔付支出与资产回报三条渠道，可更真实地还原保险公司在压力期的三重夹击。</w:t>
      </w:r>
    </w:p>
    <w:p w14:paraId="44D1CE0F" w14:textId="77777777" w:rsidR="00C44E49" w:rsidRDefault="00C44E49" w:rsidP="00C44E49">
      <w:pPr>
        <w:rPr>
          <w:rFonts w:hint="eastAsia"/>
        </w:rPr>
      </w:pPr>
    </w:p>
    <w:p w14:paraId="3FDAE83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4C0C87B6" w14:textId="77777777" w:rsidR="00C44E49" w:rsidRDefault="00C44E49" w:rsidP="00C44E49">
      <w:pPr>
        <w:rPr>
          <w:rFonts w:hint="eastAsia"/>
        </w:rPr>
      </w:pPr>
    </w:p>
    <w:p w14:paraId="17BF2E41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监管机制</w:t>
      </w:r>
    </w:p>
    <w:p w14:paraId="1C5E44FD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偿付能力评价：定义基于风险资本（</w:t>
      </w:r>
      <w:r>
        <w:rPr>
          <w:rFonts w:hint="eastAsia"/>
        </w:rPr>
        <w:t>RBC</w:t>
      </w:r>
      <w:r>
        <w:rPr>
          <w:rFonts w:hint="eastAsia"/>
        </w:rPr>
        <w:t>）或偿付能力充足率（</w:t>
      </w:r>
      <w:r>
        <w:rPr>
          <w:rFonts w:hint="eastAsia"/>
        </w:rPr>
        <w:t>SCR</w:t>
      </w:r>
      <w:r>
        <w:rPr>
          <w:rFonts w:hint="eastAsia"/>
        </w:rPr>
        <w:t>）的指标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S_t</w:t>
      </w:r>
      <w:proofErr w:type="spellEnd"/>
      <w:r>
        <w:rPr>
          <w:rFonts w:hint="eastAsia"/>
        </w:rPr>
        <w:t xml:space="preserve"> = </w:t>
      </w:r>
      <w:r>
        <w:rPr>
          <w:rFonts w:hint="eastAsia"/>
        </w:rPr>
        <w:t>可用资本</w:t>
      </w:r>
      <w:r>
        <w:rPr>
          <w:rFonts w:hint="eastAsia"/>
        </w:rPr>
        <w:t>/</w:t>
      </w:r>
      <w:r>
        <w:rPr>
          <w:rFonts w:hint="eastAsia"/>
        </w:rPr>
        <w:t>最低资本要求。门槛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由监管给定。</w:t>
      </w:r>
    </w:p>
    <w:p w14:paraId="67895B6D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投资限制：对资产配置权重施加上限，如权益、信用债、另类资产占比上限；</w:t>
      </w:r>
      <w:proofErr w:type="gramStart"/>
      <w:r>
        <w:rPr>
          <w:rFonts w:hint="eastAsia"/>
        </w:rPr>
        <w:t>对久期错配</w:t>
      </w:r>
      <w:proofErr w:type="gramEnd"/>
      <w:r>
        <w:rPr>
          <w:rFonts w:hint="eastAsia"/>
        </w:rPr>
        <w:t>设定红线。</w:t>
      </w:r>
    </w:p>
    <w:p w14:paraId="1B85434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干预与接管：当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连续低于阈值</w:t>
      </w:r>
      <w:r>
        <w:rPr>
          <w:rFonts w:hint="eastAsia"/>
        </w:rPr>
        <w:t xml:space="preserve"> </w:t>
      </w:r>
      <w:r>
        <w:rPr>
          <w:rFonts w:hint="eastAsia"/>
        </w:rPr>
        <w:t>θ</w:t>
      </w:r>
      <w:r>
        <w:rPr>
          <w:rFonts w:hint="eastAsia"/>
        </w:rPr>
        <w:t xml:space="preserve"> </w:t>
      </w:r>
      <w:r>
        <w:rPr>
          <w:rFonts w:hint="eastAsia"/>
        </w:rPr>
        <w:t>时触发接管，设置观察期与处置期（总计两年）。接管期间限制增长性业务与高风险投资，优先修复资本金与流动性。</w:t>
      </w:r>
    </w:p>
    <w:p w14:paraId="6273F7F4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市场准入：当行业盈利性与收益率满足要求（如行业平均</w:t>
      </w:r>
      <w:r>
        <w:rPr>
          <w:rFonts w:hint="eastAsia"/>
        </w:rPr>
        <w:t xml:space="preserve"> ROE </w:t>
      </w:r>
      <w:r>
        <w:rPr>
          <w:rFonts w:hint="eastAsia"/>
        </w:rPr>
        <w:t>与公司拟议资本充足性达标）时，批准新公司进入。</w:t>
      </w:r>
    </w:p>
    <w:p w14:paraId="15FC25B5" w14:textId="77777777" w:rsidR="00C44E49" w:rsidRDefault="00C44E49" w:rsidP="00C44E49">
      <w:pPr>
        <w:rPr>
          <w:rFonts w:hint="eastAsia"/>
        </w:rPr>
      </w:pPr>
    </w:p>
    <w:p w14:paraId="053F50F9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现实意义：监管在防范顺周期放大与维护市场稳定中发挥关键缓冲作用。</w:t>
      </w:r>
    </w:p>
    <w:p w14:paraId="6912071E" w14:textId="77777777" w:rsidR="00C44E49" w:rsidRDefault="00C44E49" w:rsidP="00C44E49">
      <w:pPr>
        <w:rPr>
          <w:rFonts w:hint="eastAsia"/>
        </w:rPr>
      </w:pPr>
    </w:p>
    <w:p w14:paraId="73A7FF9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0F05EB3A" w14:textId="77777777" w:rsidR="00C44E49" w:rsidRDefault="00C44E49" w:rsidP="00C44E49">
      <w:pPr>
        <w:rPr>
          <w:rFonts w:hint="eastAsia"/>
        </w:rPr>
      </w:pPr>
    </w:p>
    <w:p w14:paraId="711DC4B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保险公司行为</w:t>
      </w:r>
    </w:p>
    <w:p w14:paraId="1E11A177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1) </w:t>
      </w:r>
      <w:r>
        <w:rPr>
          <w:rFonts w:hint="eastAsia"/>
        </w:rPr>
        <w:t>承保业务</w:t>
      </w:r>
    </w:p>
    <w:p w14:paraId="256C1033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定价：保费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p_i,t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由目标赔付率、费用率、资本成本与竞争压力共同决定。可引入经验费率或前瞻因子（基于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M_t</w:t>
      </w:r>
      <w:proofErr w:type="spellEnd"/>
      <w:r>
        <w:rPr>
          <w:rFonts w:hint="eastAsia"/>
        </w:rPr>
        <w:t>）。</w:t>
      </w:r>
    </w:p>
    <w:p w14:paraId="3DB6305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核保与规模：在投资限制与资本约束下，选择当期承保规模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q_i,t</w:t>
      </w:r>
      <w:proofErr w:type="spellEnd"/>
      <w:r>
        <w:rPr>
          <w:rFonts w:hint="eastAsia"/>
        </w:rPr>
        <w:t>；若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较低，实施逆周期去杠杆的承保收缩。</w:t>
      </w:r>
    </w:p>
    <w:p w14:paraId="116891A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lastRenderedPageBreak/>
        <w:t xml:space="preserve">- </w:t>
      </w:r>
      <w:r>
        <w:rPr>
          <w:rFonts w:hint="eastAsia"/>
        </w:rPr>
        <w:t>赔付过程：理赔现金流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c_i,t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由频率与严重度驱动，并受系统性冲击放大项影响。</w:t>
      </w:r>
    </w:p>
    <w:p w14:paraId="73A99C85" w14:textId="77777777" w:rsidR="00C44E49" w:rsidRDefault="00C44E49" w:rsidP="00C44E49">
      <w:pPr>
        <w:rPr>
          <w:rFonts w:hint="eastAsia"/>
        </w:rPr>
      </w:pPr>
    </w:p>
    <w:p w14:paraId="4CE69220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2) </w:t>
      </w:r>
      <w:r>
        <w:rPr>
          <w:rFonts w:hint="eastAsia"/>
        </w:rPr>
        <w:t>投资业务（带约束的最优化）</w:t>
      </w:r>
    </w:p>
    <w:p w14:paraId="4480C08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目标函数：在风险预算与监管限制下，最大化预期效用或经济资本下的风险调整收益。</w:t>
      </w:r>
    </w:p>
    <w:p w14:paraId="1A679C6B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约束条件：资产权重上限、</w:t>
      </w:r>
      <w:proofErr w:type="gramStart"/>
      <w:r>
        <w:rPr>
          <w:rFonts w:hint="eastAsia"/>
        </w:rPr>
        <w:t>久期与</w:t>
      </w:r>
      <w:proofErr w:type="gramEnd"/>
      <w:r>
        <w:rPr>
          <w:rFonts w:hint="eastAsia"/>
        </w:rPr>
        <w:t>流动性约束、最低现金头寸要求，以及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不低于预警阈值。</w:t>
      </w:r>
    </w:p>
    <w:p w14:paraId="13E87B6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流动性管理：若当期理赔与赎回导致现金缺口，公司需在二级市场出售资产。考虑市场深度与价格冲击函数，出现“减价出售”（</w:t>
      </w:r>
      <w:r>
        <w:rPr>
          <w:rFonts w:hint="eastAsia"/>
        </w:rPr>
        <w:t>fire sale</w:t>
      </w:r>
      <w:r>
        <w:rPr>
          <w:rFonts w:hint="eastAsia"/>
        </w:rPr>
        <w:t>）效应，扩大净损失。</w:t>
      </w:r>
    </w:p>
    <w:p w14:paraId="58D20F27" w14:textId="77777777" w:rsidR="00C44E49" w:rsidRDefault="00C44E49" w:rsidP="00C44E49">
      <w:pPr>
        <w:rPr>
          <w:rFonts w:hint="eastAsia"/>
        </w:rPr>
      </w:pPr>
    </w:p>
    <w:p w14:paraId="0D9C3FF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3) </w:t>
      </w:r>
      <w:r>
        <w:rPr>
          <w:rFonts w:hint="eastAsia"/>
        </w:rPr>
        <w:t>偿付能力与触发机制</w:t>
      </w:r>
    </w:p>
    <w:p w14:paraId="3E4F60D7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期末校验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S_t</w:t>
      </w:r>
      <w:proofErr w:type="spellEnd"/>
      <w:r>
        <w:rPr>
          <w:rFonts w:hint="eastAsia"/>
        </w:rPr>
        <w:t>；若跌破阈值，触发减仓、增资</w:t>
      </w:r>
      <w:proofErr w:type="gramStart"/>
      <w:r>
        <w:rPr>
          <w:rFonts w:hint="eastAsia"/>
        </w:rPr>
        <w:t>或缩表等</w:t>
      </w:r>
      <w:proofErr w:type="gramEnd"/>
      <w:r>
        <w:rPr>
          <w:rFonts w:hint="eastAsia"/>
        </w:rPr>
        <w:t>修复动作；在连续期数未修复时进入接管流程。</w:t>
      </w:r>
    </w:p>
    <w:p w14:paraId="0642FE16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反馈回路：减价出售压低市场价格，进一步侵蚀资产净值与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S_t</w:t>
      </w:r>
      <w:proofErr w:type="spellEnd"/>
      <w:r>
        <w:rPr>
          <w:rFonts w:hint="eastAsia"/>
        </w:rPr>
        <w:t>，形成负向循环。</w:t>
      </w:r>
    </w:p>
    <w:p w14:paraId="531A4DA2" w14:textId="77777777" w:rsidR="00C44E49" w:rsidRDefault="00C44E49" w:rsidP="00C44E49">
      <w:pPr>
        <w:rPr>
          <w:rFonts w:hint="eastAsia"/>
        </w:rPr>
      </w:pPr>
    </w:p>
    <w:p w14:paraId="3321302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现实意义：准确反映压力期中“负债端现金刚性</w:t>
      </w:r>
      <w:r>
        <w:rPr>
          <w:rFonts w:hint="eastAsia"/>
        </w:rPr>
        <w:t xml:space="preserve"> + </w:t>
      </w:r>
      <w:r>
        <w:rPr>
          <w:rFonts w:hint="eastAsia"/>
        </w:rPr>
        <w:t>资产端价格脆弱性”的结构性张力。</w:t>
      </w:r>
    </w:p>
    <w:p w14:paraId="1B41C62D" w14:textId="77777777" w:rsidR="00C44E49" w:rsidRDefault="00C44E49" w:rsidP="00C44E49">
      <w:pPr>
        <w:rPr>
          <w:rFonts w:hint="eastAsia"/>
        </w:rPr>
      </w:pPr>
    </w:p>
    <w:p w14:paraId="455C7D0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083600E4" w14:textId="77777777" w:rsidR="00C44E49" w:rsidRDefault="00C44E49" w:rsidP="00C44E49">
      <w:pPr>
        <w:rPr>
          <w:rFonts w:hint="eastAsia"/>
        </w:rPr>
      </w:pPr>
    </w:p>
    <w:p w14:paraId="1ACCE1E7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个体投保人行为</w:t>
      </w:r>
    </w:p>
    <w:p w14:paraId="410321CD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选择机制：投保人根据价格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p_i,t</w:t>
      </w:r>
      <w:proofErr w:type="spellEnd"/>
      <w:r>
        <w:rPr>
          <w:rFonts w:hint="eastAsia"/>
        </w:rPr>
        <w:t>、服务</w:t>
      </w:r>
      <w:r>
        <w:rPr>
          <w:rFonts w:hint="eastAsia"/>
        </w:rPr>
        <w:t>/</w:t>
      </w:r>
      <w:r>
        <w:rPr>
          <w:rFonts w:hint="eastAsia"/>
        </w:rPr>
        <w:t>品牌偏好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h_i</w:t>
      </w:r>
      <w:proofErr w:type="spellEnd"/>
      <w:r>
        <w:rPr>
          <w:rFonts w:hint="eastAsia"/>
        </w:rPr>
        <w:t>、历史理赔体验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r_i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及对公司稳健性的主观感知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进行多项选择。选择概率可采用离散选择模型（如</w:t>
      </w:r>
      <w:r>
        <w:rPr>
          <w:rFonts w:hint="eastAsia"/>
        </w:rPr>
        <w:t xml:space="preserve"> Logit/</w:t>
      </w:r>
      <w:r>
        <w:rPr>
          <w:rFonts w:hint="eastAsia"/>
        </w:rPr>
        <w:t>混合</w:t>
      </w:r>
      <w:r>
        <w:rPr>
          <w:rFonts w:hint="eastAsia"/>
        </w:rPr>
        <w:t xml:space="preserve"> Logit</w:t>
      </w:r>
      <w:r>
        <w:rPr>
          <w:rFonts w:hint="eastAsia"/>
        </w:rPr>
        <w:t>）。</w:t>
      </w:r>
    </w:p>
    <w:p w14:paraId="303488D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行为异质性：投保习惯、对价格敏感度与对安全性的偏好存在异质分布；在冲击期，安全偏好权重上升。</w:t>
      </w:r>
    </w:p>
    <w:p w14:paraId="6A738CDB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动态更新：个体根据自身体验与外部口碑更新对公司质量的主观信念，导致市场份额在冲击后重新分配。</w:t>
      </w:r>
    </w:p>
    <w:p w14:paraId="6DEF9016" w14:textId="77777777" w:rsidR="00C44E49" w:rsidRDefault="00C44E49" w:rsidP="00C44E49">
      <w:pPr>
        <w:rPr>
          <w:rFonts w:hint="eastAsia"/>
        </w:rPr>
      </w:pPr>
    </w:p>
    <w:p w14:paraId="1A7796BA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现实意义：强调“价格并非唯一决定因素”，更贴合实际投保人的行为特征。</w:t>
      </w:r>
    </w:p>
    <w:p w14:paraId="78DE256C" w14:textId="77777777" w:rsidR="00C44E49" w:rsidRDefault="00C44E49" w:rsidP="00C44E49">
      <w:pPr>
        <w:rPr>
          <w:rFonts w:hint="eastAsia"/>
        </w:rPr>
      </w:pPr>
    </w:p>
    <w:p w14:paraId="7D4EA7DA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4D8A4DB5" w14:textId="77777777" w:rsidR="00C44E49" w:rsidRDefault="00C44E49" w:rsidP="00C44E49">
      <w:pPr>
        <w:rPr>
          <w:rFonts w:hint="eastAsia"/>
        </w:rPr>
      </w:pPr>
    </w:p>
    <w:p w14:paraId="4DD3E7C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市场进入与退出</w:t>
      </w:r>
    </w:p>
    <w:p w14:paraId="55709583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进入：当行业收益率、风险补偿与监管认可达标，允许新主体进入；新公司初期规模小但定价积极。</w:t>
      </w:r>
    </w:p>
    <w:p w14:paraId="5B24ADF6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退出</w:t>
      </w:r>
      <w:r>
        <w:rPr>
          <w:rFonts w:hint="eastAsia"/>
        </w:rPr>
        <w:t>/</w:t>
      </w:r>
      <w:r>
        <w:rPr>
          <w:rFonts w:hint="eastAsia"/>
        </w:rPr>
        <w:t>接管：不达标公司进入两年接管期；接管期满仍不达标则市场退出或并购重组。</w:t>
      </w:r>
    </w:p>
    <w:p w14:paraId="29329B5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竞争格局演化：进入与退出改变市场集中度与议价力量，从而反过来影响定价与创新。</w:t>
      </w:r>
    </w:p>
    <w:p w14:paraId="157F5FA9" w14:textId="77777777" w:rsidR="00C44E49" w:rsidRDefault="00C44E49" w:rsidP="00C44E49">
      <w:pPr>
        <w:rPr>
          <w:rFonts w:hint="eastAsia"/>
        </w:rPr>
      </w:pPr>
    </w:p>
    <w:p w14:paraId="5285893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67ED22D8" w14:textId="77777777" w:rsidR="00C44E49" w:rsidRDefault="00C44E49" w:rsidP="00C44E49">
      <w:pPr>
        <w:rPr>
          <w:rFonts w:hint="eastAsia"/>
        </w:rPr>
      </w:pPr>
    </w:p>
    <w:p w14:paraId="0F5EB6F3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市场出清与价格反馈</w:t>
      </w:r>
    </w:p>
    <w:p w14:paraId="3F9D532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资产市场：价格由基础回报与订单不平衡决定，引入价格冲击</w:t>
      </w:r>
      <w:proofErr w:type="gramStart"/>
      <w:r>
        <w:rPr>
          <w:rFonts w:hint="eastAsia"/>
        </w:rPr>
        <w:t>项反映</w:t>
      </w:r>
      <w:proofErr w:type="gramEnd"/>
      <w:r>
        <w:rPr>
          <w:rFonts w:hint="eastAsia"/>
        </w:rPr>
        <w:t>流动性供需；减价出售会加剧冲击。</w:t>
      </w:r>
    </w:p>
    <w:p w14:paraId="118B0470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保险产品市场：保费由成本与竞争共同决定。冲击期保费上调可能导致保单流失，形成收入下降与风险选择恶化的双重效应。</w:t>
      </w:r>
    </w:p>
    <w:p w14:paraId="1D36024C" w14:textId="77777777" w:rsidR="00C44E49" w:rsidRDefault="00C44E49" w:rsidP="00C44E49">
      <w:pPr>
        <w:rPr>
          <w:rFonts w:hint="eastAsia"/>
        </w:rPr>
      </w:pPr>
    </w:p>
    <w:p w14:paraId="3C02EDA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57633964" w14:textId="77777777" w:rsidR="00C44E49" w:rsidRDefault="00C44E49" w:rsidP="00C44E49">
      <w:pPr>
        <w:rPr>
          <w:rFonts w:hint="eastAsia"/>
        </w:rPr>
      </w:pPr>
    </w:p>
    <w:p w14:paraId="149D8D7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时间推进与仿真流程</w:t>
      </w:r>
    </w:p>
    <w:p w14:paraId="7B49DE48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每期包含以下步骤（可按月或季度粒度）：</w:t>
      </w:r>
    </w:p>
    <w:p w14:paraId="5BE1633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更新宏观状态与外部冲击</w:t>
      </w:r>
    </w:p>
    <w:p w14:paraId="70A941B9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保险公司定价与承保规模决策</w:t>
      </w:r>
    </w:p>
    <w:p w14:paraId="284B4E3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个体投保人进行选择与投保</w:t>
      </w:r>
    </w:p>
    <w:p w14:paraId="6C057A0F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实现赔付与现金流结算</w:t>
      </w:r>
    </w:p>
    <w:p w14:paraId="292893FA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投资</w:t>
      </w:r>
      <w:proofErr w:type="gramStart"/>
      <w:r>
        <w:rPr>
          <w:rFonts w:hint="eastAsia"/>
        </w:rPr>
        <w:t>组合再</w:t>
      </w:r>
      <w:proofErr w:type="gramEnd"/>
      <w:r>
        <w:rPr>
          <w:rFonts w:hint="eastAsia"/>
        </w:rPr>
        <w:t>平衡与流动性管理（</w:t>
      </w:r>
      <w:proofErr w:type="gramStart"/>
      <w:r>
        <w:rPr>
          <w:rFonts w:hint="eastAsia"/>
        </w:rPr>
        <w:t>含可能</w:t>
      </w:r>
      <w:proofErr w:type="gramEnd"/>
      <w:r>
        <w:rPr>
          <w:rFonts w:hint="eastAsia"/>
        </w:rPr>
        <w:t>的减价出售）</w:t>
      </w:r>
    </w:p>
    <w:p w14:paraId="14C1A17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6. </w:t>
      </w:r>
      <w:r>
        <w:rPr>
          <w:rFonts w:hint="eastAsia"/>
        </w:rPr>
        <w:t>偿付能力校验与监管响应（预警、限制、接管）</w:t>
      </w:r>
    </w:p>
    <w:p w14:paraId="635CC658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lastRenderedPageBreak/>
        <w:t xml:space="preserve">7. </w:t>
      </w:r>
      <w:r>
        <w:rPr>
          <w:rFonts w:hint="eastAsia"/>
        </w:rPr>
        <w:t>市场进入与退出的准入判断与执行</w:t>
      </w:r>
    </w:p>
    <w:p w14:paraId="793215ED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8. </w:t>
      </w:r>
      <w:r>
        <w:rPr>
          <w:rFonts w:hint="eastAsia"/>
        </w:rPr>
        <w:t>记录指标并进入下一期</w:t>
      </w:r>
    </w:p>
    <w:p w14:paraId="11801DE3" w14:textId="77777777" w:rsidR="00C44E49" w:rsidRDefault="00C44E49" w:rsidP="00C44E49">
      <w:pPr>
        <w:rPr>
          <w:rFonts w:hint="eastAsia"/>
        </w:rPr>
      </w:pPr>
    </w:p>
    <w:p w14:paraId="7B07397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5F33BC27" w14:textId="77777777" w:rsidR="00C44E49" w:rsidRDefault="00C44E49" w:rsidP="00C44E49">
      <w:pPr>
        <w:rPr>
          <w:rFonts w:hint="eastAsia"/>
        </w:rPr>
      </w:pPr>
    </w:p>
    <w:p w14:paraId="5EC61A2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关键参数与可校准性</w:t>
      </w:r>
    </w:p>
    <w:p w14:paraId="70E733C5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监管参数：偿付能力阈值、观察期长度、投资比例上限、默认流动性缓冲比例</w:t>
      </w:r>
    </w:p>
    <w:p w14:paraId="70B9FD55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市场与资产参数：资产预期收益、波动率、相关性、市场深度与价格冲击弹性</w:t>
      </w:r>
    </w:p>
    <w:p w14:paraId="2A388DF5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承保与赔付参数：频率与严重度分布、费用率、目标赔付率与风险附加载荷</w:t>
      </w:r>
    </w:p>
    <w:p w14:paraId="56AAAF04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个体行为参数：价格敏感度、安全偏好、路径依赖与信息更新速度</w:t>
      </w:r>
    </w:p>
    <w:p w14:paraId="6D092370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进入与退出参数：进入门槛（行业</w:t>
      </w:r>
      <w:r>
        <w:rPr>
          <w:rFonts w:hint="eastAsia"/>
        </w:rPr>
        <w:t xml:space="preserve"> ROE</w:t>
      </w:r>
      <w:r>
        <w:rPr>
          <w:rFonts w:hint="eastAsia"/>
        </w:rPr>
        <w:t>、资本充足）、退出概率与并购概率</w:t>
      </w:r>
    </w:p>
    <w:p w14:paraId="12A16A9D" w14:textId="77777777" w:rsidR="00C44E49" w:rsidRDefault="00C44E49" w:rsidP="00C44E49">
      <w:pPr>
        <w:rPr>
          <w:rFonts w:hint="eastAsia"/>
        </w:rPr>
      </w:pPr>
    </w:p>
    <w:p w14:paraId="5583C44D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建议以历史行业数据、公司报表、公开监管口径与市场行情数据进行校准与敏感性分析。</w:t>
      </w:r>
    </w:p>
    <w:p w14:paraId="3B0EB1D0" w14:textId="77777777" w:rsidR="00C44E49" w:rsidRDefault="00C44E49" w:rsidP="00C44E49">
      <w:pPr>
        <w:rPr>
          <w:rFonts w:hint="eastAsia"/>
        </w:rPr>
      </w:pPr>
    </w:p>
    <w:p w14:paraId="3DC84B5C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47FFD73F" w14:textId="77777777" w:rsidR="00C44E49" w:rsidRDefault="00C44E49" w:rsidP="00C44E49">
      <w:pPr>
        <w:rPr>
          <w:rFonts w:hint="eastAsia"/>
        </w:rPr>
      </w:pPr>
    </w:p>
    <w:p w14:paraId="3CF16906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输出指标与实验设计</w:t>
      </w:r>
    </w:p>
    <w:p w14:paraId="1456DC8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稳健性与系统性风险：行业与公司层面的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S_t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路径、违约或接管频率、资产减价幅度</w:t>
      </w:r>
    </w:p>
    <w:p w14:paraId="6357F11A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市场结构：集中度（</w:t>
      </w:r>
      <w:r>
        <w:rPr>
          <w:rFonts w:hint="eastAsia"/>
        </w:rPr>
        <w:t>HHI</w:t>
      </w:r>
      <w:r>
        <w:rPr>
          <w:rFonts w:hint="eastAsia"/>
        </w:rPr>
        <w:t>）、进入退出频率、份额演化</w:t>
      </w:r>
    </w:p>
    <w:p w14:paraId="3FC95128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定价与可负担性：平均保费、保单渗透率、退保率</w:t>
      </w:r>
    </w:p>
    <w:p w14:paraId="293B35C9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效率与福利：风险分担效率、赔付充足性、消费者剩余的近似度量</w:t>
      </w:r>
    </w:p>
    <w:p w14:paraId="5F8B3A15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压力测试场景：</w:t>
      </w:r>
    </w:p>
    <w:p w14:paraId="7B401E34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  - </w:t>
      </w:r>
      <w:proofErr w:type="gramStart"/>
      <w:r>
        <w:rPr>
          <w:rFonts w:hint="eastAsia"/>
        </w:rPr>
        <w:t>单一大</w:t>
      </w:r>
      <w:proofErr w:type="gramEnd"/>
      <w:r>
        <w:rPr>
          <w:rFonts w:hint="eastAsia"/>
        </w:rPr>
        <w:t>冲击</w:t>
      </w:r>
      <w:r>
        <w:rPr>
          <w:rFonts w:hint="eastAsia"/>
        </w:rPr>
        <w:t xml:space="preserve"> vs </w:t>
      </w:r>
      <w:r>
        <w:rPr>
          <w:rFonts w:hint="eastAsia"/>
        </w:rPr>
        <w:t>多次中等冲击</w:t>
      </w:r>
    </w:p>
    <w:p w14:paraId="65D3A447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提高或放松投资限制</w:t>
      </w:r>
    </w:p>
    <w:p w14:paraId="03522D82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提高最低资本要求与导入逆周期缓冲</w:t>
      </w:r>
    </w:p>
    <w:p w14:paraId="02A8956B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  - </w:t>
      </w:r>
      <w:r>
        <w:rPr>
          <w:rFonts w:hint="eastAsia"/>
        </w:rPr>
        <w:t>提升市场深度或流动性援助机制</w:t>
      </w:r>
    </w:p>
    <w:p w14:paraId="1878DE67" w14:textId="77777777" w:rsidR="00C44E49" w:rsidRDefault="00C44E49" w:rsidP="00C44E49">
      <w:pPr>
        <w:rPr>
          <w:rFonts w:hint="eastAsia"/>
        </w:rPr>
      </w:pPr>
    </w:p>
    <w:p w14:paraId="6FF8C630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35D82188" w14:textId="77777777" w:rsidR="00C44E49" w:rsidRDefault="00C44E49" w:rsidP="00C44E49">
      <w:pPr>
        <w:rPr>
          <w:rFonts w:hint="eastAsia"/>
        </w:rPr>
      </w:pPr>
    </w:p>
    <w:p w14:paraId="3F8B3D0B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理论与政策含义</w:t>
      </w:r>
    </w:p>
    <w:p w14:paraId="5BB19248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监管工具在抑制顺周期放大中的边际效应：更高资本与更严投资限制在危机中提升稳健性，但可能在常态期抑制竞争与创新，存在最优权衡。</w:t>
      </w:r>
    </w:p>
    <w:p w14:paraId="4645B257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流动性外部性：单体公司的求生行为（减价出售）可能加重系统性压力，提示需要宏观审慎工具或临时性流动性支持安排。</w:t>
      </w:r>
    </w:p>
    <w:p w14:paraId="7AD799CE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行为维度：投保人的安全偏好在冲击期的上升会将保费弹性转化为份额再配置，优质公司获得“避风港”溢价。</w:t>
      </w:r>
    </w:p>
    <w:p w14:paraId="3C346ABF" w14:textId="77777777" w:rsidR="00C44E49" w:rsidRDefault="00C44E49" w:rsidP="00C44E49">
      <w:pPr>
        <w:rPr>
          <w:rFonts w:hint="eastAsia"/>
        </w:rPr>
      </w:pPr>
    </w:p>
    <w:p w14:paraId="41F0056B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300CA028" w14:textId="77777777" w:rsidR="00C44E49" w:rsidRDefault="00C44E49" w:rsidP="00C44E49">
      <w:pPr>
        <w:rPr>
          <w:rFonts w:hint="eastAsia"/>
        </w:rPr>
      </w:pPr>
    </w:p>
    <w:p w14:paraId="6F68E08A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### </w:t>
      </w:r>
      <w:r>
        <w:rPr>
          <w:rFonts w:hint="eastAsia"/>
        </w:rPr>
        <w:t>可复现性与扩展</w:t>
      </w:r>
    </w:p>
    <w:p w14:paraId="257B0F50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模块化实现：主体行为、资产市场、监管规则分层封装，支持替换不同的损失分布、资产生成过程与选择模型。</w:t>
      </w:r>
    </w:p>
    <w:p w14:paraId="7D07293B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 xml:space="preserve">- </w:t>
      </w:r>
      <w:r>
        <w:rPr>
          <w:rFonts w:hint="eastAsia"/>
        </w:rPr>
        <w:t>扩展方向：加入再保险与共同体安排、公司间网络敞口、</w:t>
      </w:r>
      <w:proofErr w:type="gramStart"/>
      <w:r>
        <w:rPr>
          <w:rFonts w:hint="eastAsia"/>
        </w:rPr>
        <w:t>负债久期错配</w:t>
      </w:r>
      <w:proofErr w:type="gramEnd"/>
      <w:r>
        <w:rPr>
          <w:rFonts w:hint="eastAsia"/>
        </w:rPr>
        <w:t>与利率敏感度、产品异质化与长期保单的退保行为。</w:t>
      </w:r>
    </w:p>
    <w:p w14:paraId="16C5ACFB" w14:textId="77777777" w:rsidR="00C44E49" w:rsidRDefault="00C44E49" w:rsidP="00C44E49">
      <w:pPr>
        <w:rPr>
          <w:rFonts w:hint="eastAsia"/>
        </w:rPr>
      </w:pPr>
    </w:p>
    <w:p w14:paraId="3889C611" w14:textId="77777777" w:rsidR="00C44E49" w:rsidRDefault="00C44E49" w:rsidP="00C44E49">
      <w:pPr>
        <w:rPr>
          <w:rFonts w:hint="eastAsia"/>
        </w:rPr>
      </w:pPr>
      <w:r>
        <w:rPr>
          <w:rFonts w:hint="eastAsia"/>
        </w:rPr>
        <w:t>---</w:t>
      </w:r>
    </w:p>
    <w:p w14:paraId="18804C73" w14:textId="77777777" w:rsidR="00C44E49" w:rsidRDefault="00C44E49" w:rsidP="00C44E49">
      <w:pPr>
        <w:rPr>
          <w:rFonts w:hint="eastAsia"/>
        </w:rPr>
      </w:pPr>
    </w:p>
    <w:p w14:paraId="4E191039" w14:textId="0D019C31" w:rsidR="002546AD" w:rsidRDefault="00C44E49" w:rsidP="00C44E49">
      <w:pPr>
        <w:rPr>
          <w:rFonts w:hint="eastAsia"/>
        </w:rPr>
      </w:pPr>
      <w:r>
        <w:rPr>
          <w:rFonts w:hint="eastAsia"/>
        </w:rPr>
        <w:t>如需，我可以将以上结构化文字整理为论文“方法”章节的正式稿，或按您的仿真平台（如</w:t>
      </w:r>
      <w:r>
        <w:rPr>
          <w:rFonts w:hint="eastAsia"/>
        </w:rPr>
        <w:t xml:space="preserve"> Python/Mesa</w:t>
      </w:r>
      <w:r>
        <w:rPr>
          <w:rFonts w:hint="eastAsia"/>
        </w:rPr>
        <w:t>、</w:t>
      </w:r>
      <w:r>
        <w:rPr>
          <w:rFonts w:hint="eastAsia"/>
        </w:rPr>
        <w:t>Julia/</w:t>
      </w:r>
      <w:proofErr w:type="spellStart"/>
      <w:r>
        <w:rPr>
          <w:rFonts w:hint="eastAsia"/>
        </w:rPr>
        <w:t>Agents.jl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NetLogo</w:t>
      </w:r>
      <w:proofErr w:type="spellEnd"/>
      <w:r>
        <w:rPr>
          <w:rFonts w:hint="eastAsia"/>
        </w:rPr>
        <w:t>）提供参数表与伪代码。</w:t>
      </w:r>
    </w:p>
    <w:sectPr w:rsidR="002546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E49"/>
    <w:rsid w:val="00034A5A"/>
    <w:rsid w:val="002135CD"/>
    <w:rsid w:val="002546AD"/>
    <w:rsid w:val="003B1860"/>
    <w:rsid w:val="00527252"/>
    <w:rsid w:val="005A7BCD"/>
    <w:rsid w:val="005C2804"/>
    <w:rsid w:val="008E3B37"/>
    <w:rsid w:val="00975553"/>
    <w:rsid w:val="009A41B6"/>
    <w:rsid w:val="00A00551"/>
    <w:rsid w:val="00A168FF"/>
    <w:rsid w:val="00A23A10"/>
    <w:rsid w:val="00A97178"/>
    <w:rsid w:val="00AA0AC0"/>
    <w:rsid w:val="00B56DAA"/>
    <w:rsid w:val="00C44E49"/>
    <w:rsid w:val="00CA6BBF"/>
    <w:rsid w:val="00CB6F97"/>
    <w:rsid w:val="00CF33DF"/>
    <w:rsid w:val="00E67B33"/>
    <w:rsid w:val="00F126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8D3D5"/>
  <w15:chartTrackingRefBased/>
  <w15:docId w15:val="{A02B9445-CF3A-481A-BFCB-FB1AC8A54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551"/>
    <w:pPr>
      <w:widowControl w:val="0"/>
      <w:spacing w:after="0" w:line="360" w:lineRule="auto"/>
    </w:pPr>
    <w:rPr>
      <w:rFonts w:eastAsia="宋体"/>
      <w:szCs w:val="22"/>
    </w:rPr>
  </w:style>
  <w:style w:type="paragraph" w:styleId="1">
    <w:name w:val="heading 1"/>
    <w:basedOn w:val="a"/>
    <w:next w:val="a"/>
    <w:link w:val="10"/>
    <w:uiPriority w:val="9"/>
    <w:qFormat/>
    <w:rsid w:val="00C44E4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44E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44E4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44E49"/>
    <w:pPr>
      <w:keepNext/>
      <w:keepLines/>
      <w:spacing w:before="80" w:after="40"/>
      <w:outlineLvl w:val="3"/>
    </w:pPr>
    <w:rPr>
      <w:rFonts w:eastAsiaTheme="min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44E49"/>
    <w:pPr>
      <w:keepNext/>
      <w:keepLines/>
      <w:spacing w:before="80" w:after="40"/>
      <w:outlineLvl w:val="4"/>
    </w:pPr>
    <w:rPr>
      <w:rFonts w:eastAsiaTheme="minorEastAsia"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44E49"/>
    <w:pPr>
      <w:keepNext/>
      <w:keepLines/>
      <w:spacing w:before="40"/>
      <w:outlineLvl w:val="5"/>
    </w:pPr>
    <w:rPr>
      <w:rFonts w:eastAsiaTheme="minorEastAsia"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44E49"/>
    <w:pPr>
      <w:keepNext/>
      <w:keepLines/>
      <w:spacing w:before="40"/>
      <w:outlineLvl w:val="6"/>
    </w:pPr>
    <w:rPr>
      <w:rFonts w:eastAsiaTheme="minorEastAsia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44E49"/>
    <w:pPr>
      <w:keepNext/>
      <w:keepLines/>
      <w:outlineLvl w:val="7"/>
    </w:pPr>
    <w:rPr>
      <w:rFonts w:eastAsiaTheme="minorEastAsia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44E4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nal">
    <w:name w:val="nornal"/>
    <w:basedOn w:val="a3"/>
    <w:link w:val="nornal0"/>
    <w:autoRedefine/>
    <w:qFormat/>
    <w:rsid w:val="00A97178"/>
    <w:rPr>
      <w:rFonts w:ascii="Times New Roman" w:hAnsi="Times New Roman"/>
    </w:rPr>
  </w:style>
  <w:style w:type="character" w:customStyle="1" w:styleId="nornal0">
    <w:name w:val="nornal 字符"/>
    <w:basedOn w:val="a0"/>
    <w:link w:val="nornal"/>
    <w:rsid w:val="00A97178"/>
    <w:rPr>
      <w:rFonts w:ascii="Times New Roman" w:eastAsia="宋体" w:hAnsi="Times New Roman"/>
      <w:szCs w:val="22"/>
    </w:rPr>
  </w:style>
  <w:style w:type="paragraph" w:styleId="a3">
    <w:name w:val="No Spacing"/>
    <w:uiPriority w:val="1"/>
    <w:qFormat/>
    <w:rsid w:val="00A97178"/>
    <w:pPr>
      <w:widowControl w:val="0"/>
      <w:spacing w:after="0" w:line="240" w:lineRule="auto"/>
    </w:pPr>
    <w:rPr>
      <w:rFonts w:eastAsia="宋体"/>
      <w:szCs w:val="22"/>
    </w:rPr>
  </w:style>
  <w:style w:type="character" w:customStyle="1" w:styleId="10">
    <w:name w:val="标题 1 字符"/>
    <w:basedOn w:val="a0"/>
    <w:link w:val="1"/>
    <w:uiPriority w:val="9"/>
    <w:rsid w:val="00C44E4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44E4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44E4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44E4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44E4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44E49"/>
    <w:rPr>
      <w:rFonts w:cstheme="majorBidi"/>
      <w:b/>
      <w:bCs/>
      <w:color w:val="2F5496" w:themeColor="accent1" w:themeShade="BF"/>
      <w:szCs w:val="22"/>
    </w:rPr>
  </w:style>
  <w:style w:type="character" w:customStyle="1" w:styleId="70">
    <w:name w:val="标题 7 字符"/>
    <w:basedOn w:val="a0"/>
    <w:link w:val="7"/>
    <w:uiPriority w:val="9"/>
    <w:semiHidden/>
    <w:rsid w:val="00C44E49"/>
    <w:rPr>
      <w:rFonts w:cstheme="majorBidi"/>
      <w:b/>
      <w:bCs/>
      <w:color w:val="595959" w:themeColor="text1" w:themeTint="A6"/>
      <w:szCs w:val="22"/>
    </w:rPr>
  </w:style>
  <w:style w:type="character" w:customStyle="1" w:styleId="80">
    <w:name w:val="标题 8 字符"/>
    <w:basedOn w:val="a0"/>
    <w:link w:val="8"/>
    <w:uiPriority w:val="9"/>
    <w:semiHidden/>
    <w:rsid w:val="00C44E49"/>
    <w:rPr>
      <w:rFonts w:cstheme="majorBidi"/>
      <w:color w:val="595959" w:themeColor="text1" w:themeTint="A6"/>
      <w:szCs w:val="22"/>
    </w:rPr>
  </w:style>
  <w:style w:type="character" w:customStyle="1" w:styleId="90">
    <w:name w:val="标题 9 字符"/>
    <w:basedOn w:val="a0"/>
    <w:link w:val="9"/>
    <w:uiPriority w:val="9"/>
    <w:semiHidden/>
    <w:rsid w:val="00C44E49"/>
    <w:rPr>
      <w:rFonts w:eastAsiaTheme="majorEastAsia" w:cstheme="majorBidi"/>
      <w:color w:val="595959" w:themeColor="text1" w:themeTint="A6"/>
      <w:szCs w:val="22"/>
    </w:rPr>
  </w:style>
  <w:style w:type="paragraph" w:styleId="a4">
    <w:name w:val="Title"/>
    <w:basedOn w:val="a"/>
    <w:next w:val="a"/>
    <w:link w:val="a5"/>
    <w:uiPriority w:val="10"/>
    <w:qFormat/>
    <w:rsid w:val="00C44E4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C44E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C44E4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7">
    <w:name w:val="副标题 字符"/>
    <w:basedOn w:val="a0"/>
    <w:link w:val="a6"/>
    <w:uiPriority w:val="11"/>
    <w:rsid w:val="00C44E4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8">
    <w:name w:val="Quote"/>
    <w:basedOn w:val="a"/>
    <w:next w:val="a"/>
    <w:link w:val="a9"/>
    <w:uiPriority w:val="29"/>
    <w:qFormat/>
    <w:rsid w:val="00C44E4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9">
    <w:name w:val="引用 字符"/>
    <w:basedOn w:val="a0"/>
    <w:link w:val="a8"/>
    <w:uiPriority w:val="29"/>
    <w:rsid w:val="00C44E49"/>
    <w:rPr>
      <w:rFonts w:eastAsia="宋体"/>
      <w:i/>
      <w:iCs/>
      <w:color w:val="404040" w:themeColor="text1" w:themeTint="BF"/>
      <w:szCs w:val="22"/>
    </w:rPr>
  </w:style>
  <w:style w:type="paragraph" w:styleId="aa">
    <w:name w:val="List Paragraph"/>
    <w:basedOn w:val="a"/>
    <w:uiPriority w:val="34"/>
    <w:qFormat/>
    <w:rsid w:val="00C44E49"/>
    <w:pPr>
      <w:ind w:left="720"/>
      <w:contextualSpacing/>
    </w:pPr>
  </w:style>
  <w:style w:type="character" w:styleId="ab">
    <w:name w:val="Intense Emphasis"/>
    <w:basedOn w:val="a0"/>
    <w:uiPriority w:val="21"/>
    <w:qFormat/>
    <w:rsid w:val="00C44E49"/>
    <w:rPr>
      <w:i/>
      <w:iCs/>
      <w:color w:val="2F5496" w:themeColor="accent1" w:themeShade="BF"/>
    </w:rPr>
  </w:style>
  <w:style w:type="paragraph" w:styleId="ac">
    <w:name w:val="Intense Quote"/>
    <w:basedOn w:val="a"/>
    <w:next w:val="a"/>
    <w:link w:val="ad"/>
    <w:uiPriority w:val="30"/>
    <w:qFormat/>
    <w:rsid w:val="00C44E4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d">
    <w:name w:val="明显引用 字符"/>
    <w:basedOn w:val="a0"/>
    <w:link w:val="ac"/>
    <w:uiPriority w:val="30"/>
    <w:rsid w:val="00C44E49"/>
    <w:rPr>
      <w:rFonts w:eastAsia="宋体"/>
      <w:i/>
      <w:iCs/>
      <w:color w:val="2F5496" w:themeColor="accent1" w:themeShade="BF"/>
      <w:szCs w:val="22"/>
    </w:rPr>
  </w:style>
  <w:style w:type="character" w:styleId="ae">
    <w:name w:val="Intense Reference"/>
    <w:basedOn w:val="a0"/>
    <w:uiPriority w:val="32"/>
    <w:qFormat/>
    <w:rsid w:val="00C44E4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472</Words>
  <Characters>2696</Characters>
  <Application>Microsoft Office Word</Application>
  <DocSecurity>0</DocSecurity>
  <Lines>22</Lines>
  <Paragraphs>6</Paragraphs>
  <ScaleCrop>false</ScaleCrop>
  <Company/>
  <LinksUpToDate>false</LinksUpToDate>
  <CharactersWithSpaces>3162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云峰 侯</dc:creator>
  <cp:keywords/>
  <dc:description/>
  <cp:lastModifiedBy>云峰 侯</cp:lastModifiedBy>
  <cp:revision>1</cp:revision>
  <dcterms:created xsi:type="dcterms:W3CDTF">2025-09-18T14:27:00Z</dcterms:created>
  <dcterms:modified xsi:type="dcterms:W3CDTF">2025-09-18T14:28:00Z</dcterms:modified>
</cp:coreProperties>
</file>