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4.1 Actors</w:t>
      </w:r>
    </w:p>
    <w:tbl>
      <w:tblPr>
        <w:tblStyle w:val="TableGrid"/>
        <w:tblW w:type="auto" w:w="0"/>
        <w:jc w:val="center"/>
        <w:tblLook w:firstColumn="1" w:firstRow="1" w:lastColumn="0" w:lastRow="0" w:noHBand="0" w:noVBand="1" w:val="04A0"/>
      </w:tblPr>
      <w:tblGrid>
        <w:gridCol w:w="3324"/>
        <w:gridCol w:w="3324"/>
        <w:gridCol w:w="3324"/>
      </w:tblGrid>
      <w:tr>
        <w:tc>
          <w:tcPr>
            <w:tcW w:type="dxa" w:w="680"/>
          </w:tcPr>
          <w:p>
            <w:r/>
            <w:r>
              <w:rPr>
                <w:b/>
                <w:sz w:val="20"/>
              </w:rPr>
              <w:t>#</w:t>
            </w:r>
          </w:p>
        </w:tc>
        <w:tc>
          <w:tcPr>
            <w:tcW w:type="dxa" w:w="2041"/>
          </w:tcPr>
          <w:p>
            <w:r/>
            <w:r>
              <w:rPr>
                <w:b/>
                <w:sz w:val="20"/>
              </w:rPr>
              <w:t>Actor</w:t>
            </w:r>
          </w:p>
        </w:tc>
        <w:tc>
          <w:tcPr>
            <w:tcW w:type="dxa" w:w="6917"/>
          </w:tcPr>
          <w:p>
            <w:r/>
            <w:r>
              <w:rPr>
                <w:b/>
                <w:sz w:val="20"/>
              </w:rPr>
              <w:t>Description</w:t>
            </w:r>
          </w:p>
        </w:tc>
      </w:tr>
      <w:tr>
        <w:tc>
          <w:tcPr>
            <w:tcW w:type="dxa" w:w="680"/>
          </w:tcPr>
          <w:p>
            <w:r/>
            <w:r>
              <w:rPr>
                <w:sz w:val="20"/>
              </w:rPr>
              <w:t>1</w:t>
            </w:r>
          </w:p>
        </w:tc>
        <w:tc>
          <w:tcPr>
            <w:tcW w:type="dxa" w:w="2041"/>
          </w:tcPr>
          <w:p>
            <w:r/>
            <w:r>
              <w:rPr>
                <w:sz w:val="20"/>
              </w:rPr>
              <w:t>User</w:t>
            </w:r>
          </w:p>
        </w:tc>
        <w:tc>
          <w:tcPr>
            <w:tcW w:type="dxa" w:w="6917"/>
          </w:tcPr>
          <w:p>
            <w:r/>
            <w:r>
              <w:rPr>
                <w:sz w:val="20"/>
              </w:rPr>
              <w:t>Abstract actor that represents any account holder of the platform. It holds the use cases shared by every role: activate account, sign in, sign out, recover password, change password, manage profile, buy AI credits and view notifications. Student, Teacher, Subject Manager and Administrator inherit from it.</w:t>
            </w:r>
          </w:p>
        </w:tc>
      </w:tr>
      <w:tr>
        <w:tc>
          <w:tcPr>
            <w:tcW w:type="dxa" w:w="680"/>
          </w:tcPr>
          <w:p>
            <w:r/>
            <w:r>
              <w:rPr>
                <w:sz w:val="20"/>
              </w:rPr>
              <w:t>2</w:t>
            </w:r>
          </w:p>
        </w:tc>
        <w:tc>
          <w:tcPr>
            <w:tcW w:type="dxa" w:w="2041"/>
          </w:tcPr>
          <w:p>
            <w:r/>
            <w:r>
              <w:rPr>
                <w:sz w:val="20"/>
              </w:rPr>
              <w:t>Student</w:t>
            </w:r>
          </w:p>
        </w:tc>
        <w:tc>
          <w:tcPr>
            <w:tcW w:type="dxa" w:w="6917"/>
          </w:tcPr>
          <w:p>
            <w:r/>
            <w:r>
              <w:rPr>
                <w:sz w:val="20"/>
              </w:rPr>
              <w:t>A learner enrolled in classes. Joins a class with an invite code, opens enrolled classes and their learning materials, views assigned work, submits Text Essay, quiz, Diagram Essay and Code Lab attempts, reviews previous attempts, works on the shared group document, comments on class announcements, requests a group leader change, views published grades, and asks the AI to grade PRACTICE Text or Diagram Essay attempts with AI credits.</w:t>
            </w:r>
          </w:p>
        </w:tc>
      </w:tr>
      <w:tr>
        <w:tc>
          <w:tcPr>
            <w:tcW w:type="dxa" w:w="680"/>
          </w:tcPr>
          <w:p>
            <w:r/>
            <w:r>
              <w:rPr>
                <w:sz w:val="20"/>
              </w:rPr>
              <w:t>3</w:t>
            </w:r>
          </w:p>
        </w:tc>
        <w:tc>
          <w:tcPr>
            <w:tcW w:type="dxa" w:w="2041"/>
          </w:tcPr>
          <w:p>
            <w:r/>
            <w:r>
              <w:rPr>
                <w:sz w:val="20"/>
              </w:rPr>
              <w:t>Teacher</w:t>
            </w:r>
          </w:p>
        </w:tc>
        <w:tc>
          <w:tcPr>
            <w:tcW w:type="dxa" w:w="6917"/>
          </w:tcPr>
          <w:p>
            <w:r/>
            <w:r>
              <w:rPr>
                <w:sz w:val="20"/>
              </w:rPr>
              <w:t>The primary teacher of assigned classes. Manages class details, enrollments, invite codes and groups, class learning materials and announcements, rubrics and assignments of all five types (Text Essay, quiz, Diagram Essay, Code Lab and group assignment). Reviews and grades submissions manually or with an AI proposal, grades group documents, finalizes and publishes grades, views the gradebook and monitors submissions.</w:t>
            </w:r>
          </w:p>
        </w:tc>
      </w:tr>
      <w:tr>
        <w:tc>
          <w:tcPr>
            <w:tcW w:type="dxa" w:w="680"/>
          </w:tcPr>
          <w:p>
            <w:r/>
            <w:r>
              <w:rPr>
                <w:sz w:val="20"/>
              </w:rPr>
              <w:t>4</w:t>
            </w:r>
          </w:p>
        </w:tc>
        <w:tc>
          <w:tcPr>
            <w:tcW w:type="dxa" w:w="2041"/>
          </w:tcPr>
          <w:p>
            <w:r/>
            <w:r>
              <w:rPr>
                <w:sz w:val="20"/>
              </w:rPr>
              <w:t>Subject Manager</w:t>
            </w:r>
          </w:p>
        </w:tc>
        <w:tc>
          <w:tcPr>
            <w:tcW w:type="dxa" w:w="6917"/>
          </w:tcPr>
          <w:p>
            <w:r/>
            <w:r>
              <w:rPr>
                <w:sz w:val="20"/>
              </w:rPr>
              <w:t>The person responsible for an assigned subject. Manages the classes of the subject, subject-level modules and learning materials indexed for RAG, rubrics, question bank items and subject templates (written manually or drafted with AI) that teachers copy into their classes. Views the gradebook and monitors submissions of the subject's classes.</w:t>
            </w:r>
          </w:p>
        </w:tc>
      </w:tr>
      <w:tr>
        <w:tc>
          <w:tcPr>
            <w:tcW w:type="dxa" w:w="680"/>
          </w:tcPr>
          <w:p>
            <w:r/>
            <w:r>
              <w:rPr>
                <w:sz w:val="20"/>
              </w:rPr>
              <w:t>5</w:t>
            </w:r>
          </w:p>
        </w:tc>
        <w:tc>
          <w:tcPr>
            <w:tcW w:type="dxa" w:w="2041"/>
          </w:tcPr>
          <w:p>
            <w:r/>
            <w:r>
              <w:rPr>
                <w:sz w:val="20"/>
              </w:rPr>
              <w:t>Administrator</w:t>
            </w:r>
          </w:p>
        </w:tc>
        <w:tc>
          <w:tcPr>
            <w:tcW w:type="dxa" w:w="6917"/>
          </w:tcPr>
          <w:p>
            <w:r/>
            <w:r>
              <w:rPr>
                <w:sz w:val="20"/>
              </w:rPr>
              <w:t>The platform administrator. Manages accounts (single creation, file import, highest role and status), subjects and their subject managers, and classes and their primary teachers. Views system statistics, configures the AI service and reviews the audit log.</w:t>
            </w:r>
          </w:p>
        </w:tc>
      </w:tr>
      <w:tr>
        <w:tc>
          <w:tcPr>
            <w:tcW w:type="dxa" w:w="680"/>
          </w:tcPr>
          <w:p>
            <w:r/>
            <w:r>
              <w:rPr>
                <w:sz w:val="20"/>
              </w:rPr>
              <w:t>6</w:t>
            </w:r>
          </w:p>
        </w:tc>
        <w:tc>
          <w:tcPr>
            <w:tcW w:type="dxa" w:w="2041"/>
          </w:tcPr>
          <w:p>
            <w:r/>
            <w:r>
              <w:rPr>
                <w:sz w:val="20"/>
              </w:rPr>
              <w:t>Gemini</w:t>
            </w:r>
          </w:p>
        </w:tc>
        <w:tc>
          <w:tcPr>
            <w:tcW w:type="dxa" w:w="6917"/>
          </w:tcPr>
          <w:p>
            <w:r/>
            <w:r>
              <w:rPr>
                <w:sz w:val="20"/>
              </w:rPr>
              <w:t>External generative AI service (Google Gemini). On request it drafts templates, questions and document skeletons, proposes grades and feedback, grades PRACTICE essays and creates embeddings for RAG. It never publishes content and never decides a final grade.</w:t>
            </w:r>
          </w:p>
        </w:tc>
      </w:tr>
      <w:tr>
        <w:tc>
          <w:tcPr>
            <w:tcW w:type="dxa" w:w="680"/>
          </w:tcPr>
          <w:p>
            <w:r/>
            <w:r>
              <w:rPr>
                <w:sz w:val="20"/>
              </w:rPr>
              <w:t>7</w:t>
            </w:r>
          </w:p>
        </w:tc>
        <w:tc>
          <w:tcPr>
            <w:tcW w:type="dxa" w:w="2041"/>
          </w:tcPr>
          <w:p>
            <w:r/>
            <w:r>
              <w:rPr>
                <w:sz w:val="20"/>
              </w:rPr>
              <w:t>Google Drive</w:t>
            </w:r>
          </w:p>
        </w:tc>
        <w:tc>
          <w:tcPr>
            <w:tcW w:type="dxa" w:w="6917"/>
          </w:tcPr>
          <w:p>
            <w:r/>
            <w:r>
              <w:rPr>
                <w:sz w:val="20"/>
              </w:rPr>
              <w:t>External file storage on the organization's shared drive. Stores learning material files, avatars, document assets and submitted files. Files stay private and are served only after the platform has checked the user's permission.</w:t>
            </w:r>
          </w:p>
        </w:tc>
      </w:tr>
      <w:tr>
        <w:tc>
          <w:tcPr>
            <w:tcW w:type="dxa" w:w="680"/>
          </w:tcPr>
          <w:p>
            <w:r/>
            <w:r>
              <w:rPr>
                <w:sz w:val="20"/>
              </w:rPr>
              <w:t>8</w:t>
            </w:r>
          </w:p>
        </w:tc>
        <w:tc>
          <w:tcPr>
            <w:tcW w:type="dxa" w:w="2041"/>
          </w:tcPr>
          <w:p>
            <w:r/>
            <w:r>
              <w:rPr>
                <w:sz w:val="20"/>
              </w:rPr>
              <w:t>YouTube</w:t>
            </w:r>
          </w:p>
        </w:tc>
        <w:tc>
          <w:tcPr>
            <w:tcW w:type="dxa" w:w="6917"/>
          </w:tcPr>
          <w:p>
            <w:r/>
            <w:r>
              <w:rPr>
                <w:sz w:val="20"/>
              </w:rPr>
              <w:t>External video platform. Provides video and playlist information and existing captions that are used as RAG sources for learning materials; audio is not transcribed.</w:t>
            </w:r>
          </w:p>
        </w:tc>
      </w:tr>
      <w:tr>
        <w:tc>
          <w:tcPr>
            <w:tcW w:type="dxa" w:w="680"/>
          </w:tcPr>
          <w:p>
            <w:r/>
            <w:r>
              <w:rPr>
                <w:sz w:val="20"/>
              </w:rPr>
              <w:t>9</w:t>
            </w:r>
          </w:p>
        </w:tc>
        <w:tc>
          <w:tcPr>
            <w:tcW w:type="dxa" w:w="2041"/>
          </w:tcPr>
          <w:p>
            <w:r/>
            <w:r>
              <w:rPr>
                <w:sz w:val="20"/>
              </w:rPr>
              <w:t>Judge0</w:t>
            </w:r>
          </w:p>
        </w:tc>
        <w:tc>
          <w:tcPr>
            <w:tcW w:type="dxa" w:w="6917"/>
          </w:tcPr>
          <w:p>
            <w:r/>
            <w:r>
              <w:rPr>
                <w:sz w:val="20"/>
              </w:rPr>
              <w:t>External isolated code execution sandbox. Runs Code Lab sample solutions and student code against test cases under time and memory limits, without Internet access.</w:t>
            </w:r>
          </w:p>
        </w:tc>
      </w:tr>
      <w:tr>
        <w:tc>
          <w:tcPr>
            <w:tcW w:type="dxa" w:w="680"/>
          </w:tcPr>
          <w:p>
            <w:r/>
            <w:r>
              <w:rPr>
                <w:sz w:val="20"/>
              </w:rPr>
              <w:t>10</w:t>
            </w:r>
          </w:p>
        </w:tc>
        <w:tc>
          <w:tcPr>
            <w:tcW w:type="dxa" w:w="2041"/>
          </w:tcPr>
          <w:p>
            <w:r/>
            <w:r>
              <w:rPr>
                <w:sz w:val="20"/>
              </w:rPr>
              <w:t>PayOS</w:t>
            </w:r>
          </w:p>
        </w:tc>
        <w:tc>
          <w:tcPr>
            <w:tcW w:type="dxa" w:w="6917"/>
          </w:tcPr>
          <w:p>
            <w:r/>
            <w:r>
              <w:rPr>
                <w:sz w:val="20"/>
              </w:rPr>
              <w:t>External payment gateway. Creates payment links for AI credit packages and sends signed webhooks that the platform verifies before adding credits.</w:t>
            </w:r>
          </w:p>
        </w:tc>
      </w:tr>
      <w:tr>
        <w:tc>
          <w:tcPr>
            <w:tcW w:type="dxa" w:w="680"/>
          </w:tcPr>
          <w:p>
            <w:r/>
            <w:r>
              <w:rPr>
                <w:sz w:val="20"/>
              </w:rPr>
              <w:t>11</w:t>
            </w:r>
          </w:p>
        </w:tc>
        <w:tc>
          <w:tcPr>
            <w:tcW w:type="dxa" w:w="2041"/>
          </w:tcPr>
          <w:p>
            <w:r/>
            <w:r>
              <w:rPr>
                <w:sz w:val="20"/>
              </w:rPr>
              <w:t>Brevo</w:t>
            </w:r>
          </w:p>
        </w:tc>
        <w:tc>
          <w:tcPr>
            <w:tcW w:type="dxa" w:w="6917"/>
          </w:tcPr>
          <w:p>
            <w:r/>
            <w:r>
              <w:rPr>
                <w:sz w:val="20"/>
              </w:rPr>
              <w:t>External SMTP email provider. Delivers OTP emails for account activation and password recovery, and notification emails.</w:t>
            </w:r>
          </w:p>
        </w:tc>
      </w:tr>
    </w:tbl>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