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Fisnik me numër personal 1233123134 lindur më 2024-07-04, në Decan, me adresë Hulaj,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Position 1</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2024-07-04 deri më 2024-07-04.</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2024-07-04.</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2024-07-04.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1500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2024-07-04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Fisnik  with personal number 1233123134  born on 2024-07-04, in Decan, with address Hulaj,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Position 1.</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2024-07-04 to 2024-07-04.</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2024-07-04.</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2024-07-04.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1500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2024-07-04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