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overLogo"/>
      </w:pPr>
      <w:r>
        <w:drawing>
          <wp:inline xmlns:wp="http://schemas.openxmlformats.org/drawingml/2006/wordprocessingDrawing" distT="0" distB="0" distL="0" distR="0">
            <wp:extent cx="2880000" cy="1080000"/>
            <wp:docPr id="2001" name="Logotipo do perito" descr="Logotipo do perit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" name="Logotipo do perito" descr="Logotipo do perito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LAUDO PERICIAL</w:t>
      </w:r>
    </w:p>
    <w:p>
      <w:pPr>
        <w:pStyle w:val="CoverText"/>
      </w:pPr>
      <w:r>
        <w:t xml:space="preserve">Processo nº </w:t>
      </w:r>
      <w:r>
        <w:t xml:space="preserve">Identidade sintética documentada.</w:t>
      </w:r>
    </w:p>
    <w:p>
      <w:pPr>
        <w:pStyle w:val="CoverText"/>
      </w:pPr>
      <w:r>
        <w:t xml:space="preserve">Órgão sintético documentado.</w:t>
      </w:r>
    </w:p>
    <w:p>
      <w:pPr>
        <w:pStyle w:val="CoverParties"/>
      </w:pPr>
      <w:r>
        <w:rPr>
          <w:b/>
        </w:rPr>
        <w:t xml:space="preserve">Polo ativo: </w:t>
      </w:r>
      <w:r>
        <w:t xml:space="preserve">—</w:t>
      </w:r>
    </w:p>
    <w:p>
      <w:pPr>
        <w:pStyle w:val="CoverParties"/>
      </w:pPr>
      <w:r>
        <w:rPr>
          <w:b/>
        </w:rPr>
        <w:t xml:space="preserve">Polo passivo: </w:t>
      </w:r>
      <w:r>
        <w:t xml:space="preserve">—</w:t>
      </w:r>
    </w:p>
    <w:p>
      <w:pPr>
        <w:pStyle w:val="CoverExpert"/>
      </w:pPr>
      <w:r>
        <w:rPr>
          <w:b/>
        </w:rPr>
        <w:t xml:space="preserve">Profissional Sintético</w:t>
      </w:r>
    </w:p>
    <w:p>
      <w:pPr>
        <w:pStyle w:val="CoverText"/>
      </w:pPr>
      <w:r>
        <w:t xml:space="preserve">Perito Judicial</w:t>
      </w:r>
    </w:p>
    <w:p>
      <w:pPr>
        <w:pStyle w:val="CoverCity"/>
      </w:pPr>
      <w:r>
        <w:t xml:space="preserve">Recife, 2026</w:t>
      </w:r>
    </w:p>
    <w:p>
      <w:pPr>
        <w:pStyle w:val="TOCHeading"/>
        <w:pageBreakBefore/>
      </w:pPr>
      <w:r>
        <w:t xml:space="preserve">SUMÁRIO</w:t>
      </w:r>
    </w:p>
    <w:sdt>
      <w:sdtPr>
        <w:alias w:val="TOC_ENTRIES"/>
        <w:tag w:val="TOC_ENTRIES"/>
        <w:id w:val="1001"/>
      </w:sdtPr>
      <w:sdtContent>
        <w:tbl>
          <w:tblPr>
            <w:tblW w:w="5000" w:type="pc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</w:tblPr>
          <w:tblGrid>
            <w:gridCol w:w="7800"/>
            <w:gridCol w:w="1200"/>
          </w:tblGrid>
          <w:tr>
            <w:tc>
              <w:tcPr>
                <w:tcW w:w="7800" w:type="dxa"/>
              </w:tcPr>
              <w:p>
                <w:pPr>
                  <w:pStyle w:val="TOC1"/>
                  <w:ind w:firstLine="0"/>
                </w:pPr>
                <w:r>
                  <w:t xml:space="preserve">1. IDENTIFICAÇÃO</w:t>
                </w:r>
              </w:p>
            </w:tc>
            <w:tc>
              <w:tcPr>
                <w:tcW w:w="1200" w:type="dxa"/>
              </w:tcPr>
              <w:p>
                <w:pPr>
                  <w:pStyle w:val="TOC1"/>
                  <w:ind w:firstLine="0"/>
                  <w:jc w:val="right"/>
                </w:pPr>
              </w:p>
            </w:tc>
          </w:tr>
          <w:tr>
            <w:tc>
              <w:tcPr>
                <w:tcW w:w="7800" w:type="dxa"/>
              </w:tcPr>
              <w:p>
                <w:pPr>
                  <w:pStyle w:val="TOC1"/>
                  <w:ind w:firstLine="0"/>
                </w:pPr>
                <w:r>
                  <w:t xml:space="preserve">2. CONTEXTO PROCESSUAL</w:t>
                </w:r>
              </w:p>
            </w:tc>
            <w:tc>
              <w:tcPr>
                <w:tcW w:w="1200" w:type="dxa"/>
              </w:tcPr>
              <w:p>
                <w:pPr>
                  <w:pStyle w:val="TOC1"/>
                  <w:ind w:firstLine="0"/>
                  <w:jc w:val="right"/>
                </w:pPr>
              </w:p>
            </w:tc>
          </w:tr>
          <w:tr>
            <w:tc>
              <w:tcPr>
                <w:tcW w:w="7800" w:type="dxa"/>
              </w:tcPr>
              <w:p>
                <w:pPr>
                  <w:pStyle w:val="TOC1"/>
                  <w:ind w:firstLine="0"/>
                </w:pPr>
                <w:r>
                  <w:t xml:space="preserve">3. OBJETO DA PERÍCIA</w:t>
                </w:r>
              </w:p>
            </w:tc>
            <w:tc>
              <w:tcPr>
                <w:tcW w:w="1200" w:type="dxa"/>
              </w:tcPr>
              <w:p>
                <w:pPr>
                  <w:pStyle w:val="TOC1"/>
                  <w:ind w:firstLine="0"/>
                  <w:jc w:val="right"/>
                </w:pPr>
              </w:p>
            </w:tc>
          </w:tr>
          <w:tr>
            <w:tc>
              <w:tcPr>
                <w:tcW w:w="7800" w:type="dxa"/>
              </w:tcPr>
              <w:p>
                <w:pPr>
                  <w:pStyle w:val="TOC1"/>
                  <w:ind w:firstLine="0"/>
                </w:pPr>
                <w:r>
                  <w:t xml:space="preserve">4. DOCUMENTOS E EVIDÊNCIAS EXAMINADOS</w:t>
                </w:r>
              </w:p>
            </w:tc>
            <w:tc>
              <w:tcPr>
                <w:tcW w:w="1200" w:type="dxa"/>
              </w:tcPr>
              <w:p>
                <w:pPr>
                  <w:pStyle w:val="TOC1"/>
                  <w:ind w:firstLine="0"/>
                  <w:jc w:val="right"/>
                </w:pPr>
              </w:p>
            </w:tc>
          </w:tr>
          <w:tr>
            <w:tc>
              <w:tcPr>
                <w:tcW w:w="7800" w:type="dxa"/>
              </w:tcPr>
              <w:p>
                <w:pPr>
                  <w:pStyle w:val="TOC1"/>
                  <w:ind w:firstLine="0"/>
                </w:pPr>
                <w:r>
                  <w:t xml:space="preserve">5. VISTORIA</w:t>
                </w:r>
              </w:p>
            </w:tc>
            <w:tc>
              <w:tcPr>
                <w:tcW w:w="1200" w:type="dxa"/>
              </w:tcPr>
              <w:p>
                <w:pPr>
                  <w:pStyle w:val="TOC1"/>
                  <w:ind w:firstLine="0"/>
                  <w:jc w:val="right"/>
                </w:pPr>
              </w:p>
            </w:tc>
          </w:tr>
          <w:tr>
            <w:tc>
              <w:tcPr>
                <w:tcW w:w="7800" w:type="dxa"/>
              </w:tcPr>
              <w:p>
                <w:pPr>
                  <w:pStyle w:val="TOC1"/>
                  <w:ind w:firstLine="0"/>
                </w:pPr>
                <w:r>
                  <w:t xml:space="preserve">6. ANÁLISE TÉCNICA</w:t>
                </w:r>
              </w:p>
            </w:tc>
            <w:tc>
              <w:tcPr>
                <w:tcW w:w="1200" w:type="dxa"/>
              </w:tcPr>
              <w:p>
                <w:pPr>
                  <w:pStyle w:val="TOC1"/>
                  <w:ind w:firstLine="0"/>
                  <w:jc w:val="right"/>
                </w:pPr>
              </w:p>
            </w:tc>
          </w:tr>
          <w:tr>
            <w:tc>
              <w:tcPr>
                <w:tcW w:w="7800" w:type="dxa"/>
              </w:tcPr>
              <w:p>
                <w:pPr>
                  <w:pStyle w:val="TOC1"/>
                  <w:ind w:firstLine="0"/>
                </w:pPr>
                <w:r>
                  <w:t xml:space="preserve">7. ACHADOS TÉCNICOS</w:t>
                </w:r>
              </w:p>
            </w:tc>
            <w:tc>
              <w:tcPr>
                <w:tcW w:w="1200" w:type="dxa"/>
              </w:tcPr>
              <w:p>
                <w:pPr>
                  <w:pStyle w:val="TOC1"/>
                  <w:ind w:firstLine="0"/>
                  <w:jc w:val="right"/>
                </w:pPr>
              </w:p>
            </w:tc>
          </w:tr>
          <w:tr>
            <w:tc>
              <w:tcPr>
                <w:tcW w:w="7800" w:type="dxa"/>
              </w:tcPr>
              <w:p>
                <w:pPr>
                  <w:pStyle w:val="TOC1"/>
                  <w:ind w:firstLine="0"/>
                </w:pPr>
                <w:r>
                  <w:t xml:space="preserve">8. RESPOSTAS AOS QUESITOS</w:t>
                </w:r>
              </w:p>
            </w:tc>
            <w:tc>
              <w:tcPr>
                <w:tcW w:w="1200" w:type="dxa"/>
              </w:tcPr>
              <w:p>
                <w:pPr>
                  <w:pStyle w:val="TOC1"/>
                  <w:ind w:firstLine="0"/>
                  <w:jc w:val="right"/>
                </w:pPr>
              </w:p>
            </w:tc>
          </w:tr>
        </w:tbl>
      </w:sdtContent>
    </w:sdt>
    <w:sdt>
      <w:sdtPr>
        <w:alias w:val="CANONICAL_REPORT"/>
        <w:tag w:val="CANONICAL_REPORT"/>
        <w:id w:val="1002"/>
      </w:sdtPr>
      <w:sdtContent>
        <w:p>
          <w:pPr>
            <w:pStyle w:val="Heading1"/>
            <w:keepNext/>
            <w:pageBreakBefore/>
            <w:outlineLvl w:val="0"/>
          </w:pPr>
          <w:bookmarkStart w:id="90001" w:name="_TocPLP001"/>
          <w:r>
            <w:t xml:space="preserve">1. IDENTIFICAÇÃO</w:t>
          </w:r>
          <w:bookmarkEnd w:id="90001"/>
        </w:p>
        <w:p>
          <w:r>
            <w:t xml:space="preserve">O documento sintético identifica o processo de teste.</w:t>
          </w:r>
        </w:p>
        <w:p>
          <w:pPr>
            <w:pStyle w:val="Heading1"/>
            <w:keepNext/>
            <w:outlineLvl w:val="0"/>
          </w:pPr>
          <w:bookmarkStart w:id="90002" w:name="_TocPLP002"/>
          <w:r>
            <w:t xml:space="preserve">2. CONTEXTO PROCESSUAL</w:t>
          </w:r>
          <w:bookmarkEnd w:id="90002"/>
        </w:p>
        <w:p>
          <w:r>
            <w:t xml:space="preserve">A parte sintética alegou uma ocorrência.</w:t>
          </w:r>
        </w:p>
        <w:p>
          <w:pPr>
            <w:pStyle w:val="Heading1"/>
            <w:keepNext/>
            <w:outlineLvl w:val="0"/>
          </w:pPr>
          <w:bookmarkStart w:id="90003" w:name="_TocPLP003"/>
          <w:r>
            <w:t xml:space="preserve">3. OBJETO DA PERÍCIA</w:t>
          </w:r>
          <w:bookmarkEnd w:id="90003"/>
        </w:p>
        <w:p>
          <w:r>
            <w:t xml:space="preserve">A decisão sintética delimitou o objeto pericial.</w:t>
          </w:r>
        </w:p>
        <w:p>
          <w:pPr>
            <w:pStyle w:val="Heading1"/>
            <w:keepNext/>
            <w:outlineLvl w:val="0"/>
          </w:pPr>
          <w:bookmarkStart w:id="90004" w:name="_TocPLP004"/>
          <w:r>
            <w:t xml:space="preserve">4. DOCUMENTOS E EVIDÊNCIAS EXAMINADOS</w:t>
          </w:r>
          <w:bookmarkEnd w:id="90004"/>
        </w:p>
        <w:p>
          <w:r>
            <w:t xml:space="preserve">Foi examinado o documento sintético indicado.</w:t>
          </w:r>
        </w:p>
        <w:p>
          <w:pPr>
            <w:pStyle w:val="Heading1"/>
            <w:keepNext/>
            <w:outlineLvl w:val="0"/>
          </w:pPr>
          <w:bookmarkStart w:id="90005" w:name="_TocPLP005"/>
          <w:r>
            <w:t xml:space="preserve">5. VISTORIA</w:t>
          </w:r>
          <w:bookmarkEnd w:id="90005"/>
        </w:p>
        <w:p>
          <w:r>
            <w:t xml:space="preserve">Observou-se a condição sintética registrada.</w:t>
          </w:r>
        </w:p>
        <w:p>
          <w:pPr>
            <w:pStyle w:val="Heading1"/>
            <w:keepNext/>
            <w:outlineLvl w:val="0"/>
          </w:pPr>
          <w:bookmarkStart w:id="90006" w:name="_TocPLP006"/>
          <w:r>
            <w:t xml:space="preserve">6. ANÁLISE TÉCNICA</w:t>
          </w:r>
          <w:bookmarkEnd w:id="90006"/>
        </w:p>
        <w:p>
          <w:r>
            <w:t xml:space="preserve">Mediu-se o valor sintético de 1250 mm.</w:t>
          </w:r>
        </w:p>
        <w:p>
          <w:pPr>
            <w:pStyle w:val="Heading1"/>
            <w:keepNext/>
            <w:outlineLvl w:val="0"/>
          </w:pPr>
          <w:bookmarkStart w:id="90007" w:name="_TocPLP007"/>
          <w:r>
            <w:t xml:space="preserve">7. ACHADOS TÉCNICOS</w:t>
          </w:r>
          <w:bookmarkEnd w:id="90007"/>
        </w:p>
        <w:p>
          <w:r>
            <w:t xml:space="preserve">Há divergência dimensional restrita à amostra sintética.</w:t>
          </w:r>
        </w:p>
        <w:p>
          <w:pPr>
            <w:pStyle w:val="Heading1"/>
            <w:keepNext/>
            <w:outlineLvl w:val="0"/>
          </w:pPr>
          <w:bookmarkStart w:id="90008" w:name="_TocPLP008"/>
          <w:r>
            <w:t xml:space="preserve">8. RESPOSTAS AOS QUESITOS</w:t>
          </w:r>
          <w:bookmarkEnd w:id="90008"/>
        </w:p>
        <w:p>
          <w:r>
            <w:t xml:space="preserve">Conclui-se profissionalmente pela divergência limitada ao ponto sintético.</w:t>
          </w:r>
        </w:p>
        <w:p>
          <w:r>
            <w:rPr>
              <w:b/>
            </w:rPr>
            <w:t xml:space="preserve">Quesito 1:</w:t>
          </w:r>
        </w:p>
        <w:p>
          <w:r>
            <w:rPr>
              <w:b/>
            </w:rPr>
            <w:t xml:space="preserve">Resposta:</w:t>
          </w:r>
          <w:r>
            <w:t xml:space="preserve"> A medição sintética diverge da referência documental, limitada ao ponto examinado.</w:t>
          </w:r>
        </w:p>
      </w:sdtContent>
    </w:sdt>
    <w:p>
      <w:pPr>
        <w:pStyle w:val="Signature"/>
      </w:pPr>
      <w:r>
        <w:drawing>
          <wp:inline xmlns:wp="http://schemas.openxmlformats.org/drawingml/2006/wordprocessingDrawing" distT="0" distB="0" distL="0" distR="0">
            <wp:extent cx="2160000" cy="648000"/>
            <wp:docPr id="2002" name="Assinatura do perito" descr="Assinatura do perit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" name="Assinatura do perito" descr="Assinatura do perito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ignature"/>
      </w:pPr>
      <w:r>
        <w:rPr>
          <w:b/>
        </w:rPr>
        <w:t xml:space="preserve">Profissional Sintético</w:t>
      </w:r>
    </w:p>
    <w:p>
      <w:pPr>
        <w:pStyle w:val="Signature"/>
      </w:pPr>
      <w:r>
        <w:t xml:space="preserve">Perito Judicial</w:t>
      </w:r>
    </w:p>
    <w:p>
      <w:pPr>
        <w:pStyle w:val="Signature"/>
      </w:pPr>
      <w:r>
        <w:t xml:space="preserve">REG-SYNTHETIC-001</w:t>
      </w:r>
    </w:p>
    <w:p>
      <w:pPr>
        <w:pStyle w:val="Signature"/>
      </w:pPr>
      <w:r>
        <w:drawing>
          <wp:inline xmlns:wp="http://schemas.openxmlformats.org/drawingml/2006/wordprocessingDrawing" distT="0" distB="0" distL="0" distR="0">
            <wp:extent cx="1260000" cy="1260000"/>
            <wp:docPr id="2003" name="Selo profissional" descr="Selo profissiona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" name="Selo profissional" descr="Selo profissional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Header1"/>
      <w:footerReference w:type="default" r:id="rIdFooter1"/>
      <w:headerReference w:type="first" r:id="rIdHeader2"/>
      <w:footerReference w:type="first" r:id="rIdFooter2"/>
      <w:pgSz w:w="11906" w:h="16838"/>
      <w:pgMar w:top="1134" w:right="1134" w:bottom="1134" w:left="1701" w:header="709" w:footer="709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</w:pP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jc w:val="left"/>
    </w:pPr>
    <w:r>
      <w:drawing>
        <wp:anchor xmlns:wp="http://schemas.openxmlformats.org/drawingml/2006/wordprocessingDrawing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2004" name="Fundo da página (decorativo)" descr="Fundo da página (decorativo)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4" name="Fundo da página (decorativo)" descr="Fundo da página (decorativo)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xmlns:wp="http://schemas.openxmlformats.org/drawingml/2006/wordprocessingDrawing" distT="0" distB="0" distL="0" distR="0">
          <wp:extent cx="900000" cy="337500"/>
          <wp:docPr id="2005" name="Logotipo do perito" descr="Logotipo do perito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" name="Logotipo do perito" descr="Logotipo do perito"/>
                  <pic:cNvPicPr/>
                </pic:nvPicPr>
                <pic:blipFill>
                  <a:blip r:embed="rIdImg2"/>
                  <a:stretch>
                    <a:fillRect/>
                  </a:stretch>
                </pic:blipFill>
                <pic:spPr>
                  <a:xfrm>
                    <a:off x="0" y="0"/>
                    <a:ext cx="900000" cy="337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jc w:val="left"/>
    </w:pPr>
    <w:r>
      <w:t xml:space="preserve">Profissional Sintético</w:t>
    </w:r>
  </w:p>
  <w:p>
    <w:pPr>
      <w:pStyle w:val="Header"/>
      <w:jc w:val="left"/>
    </w:pPr>
    <w:r>
      <w:t xml:space="preserve">Perito Judicial · REG-SYNTHETIC-001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Style w:val="Header"/>
      <w:jc w:val="left"/>
    </w:pPr>
  </w:p>
</w:hdr>
</file>

<file path=word/settings.xml><?xml version="1.0" encoding="utf-8"?>
<w:settings xmlns:w="http://schemas.openxmlformats.org/wordprocessingml/2006/main">
  <w:defaultTabStop w:val="708"/>
  <w:autoHyphenation w:val="false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szCs w:val="22"/>
        <w:lang w:val="pt-BR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  <w:pPr>
      <w:widowControl/>
      <w:ind w:firstLine="709"/>
      <w:jc w:val="both"/>
    </w:pPr>
    <w:rPr>
      <w:rFonts w:ascii="Arial" w:hAnsi="Arial" w:cs="Arial" w:eastAsia="Arial"/>
      <w:sz w:val="22"/>
      <w:szCs w:val="22"/>
    </w:rPr>
  </w:style>
  <w:style w:type="paragraph" w:styleId="Heading1">
    <w:name w:val="heading 1"/>
    <w:basedOn w:val="Normal"/>
    <w:next w:val="Normal"/>
    <w:pPr>
      <w:keepNext/>
      <w:keepLines/>
      <w:spacing w:before="240" w:after="120" w:line="276" w:lineRule="auto"/>
      <w:ind w:firstLine="0"/>
      <w:jc w:val="left"/>
      <w:outlineLvl w:val="0"/>
    </w:pPr>
    <w:rPr>
      <w:b/>
      <w:bCs/>
      <w:sz w:val="28"/>
      <w:szCs w:val="28"/>
      <w:color w:val="1F3A4D"/>
    </w:rPr>
  </w:style>
  <w:style w:type="paragraph" w:styleId="Heading2">
    <w:name w:val="heading 2"/>
    <w:basedOn w:val="Normal"/>
    <w:next w:val="Normal"/>
    <w:pPr>
      <w:keepNext/>
      <w:keepLines/>
      <w:spacing w:before="240" w:after="120" w:line="276" w:lineRule="auto"/>
      <w:ind w:firstLine="0"/>
      <w:jc w:val="left"/>
      <w:outlineLvl w:val="1"/>
    </w:pPr>
    <w:rPr>
      <w:b/>
      <w:bCs/>
      <w:sz w:val="24"/>
      <w:szCs w:val="24"/>
      <w:color w:val="1F3A4D"/>
    </w:rPr>
  </w:style>
  <w:style w:type="paragraph" w:styleId="Heading3">
    <w:name w:val="heading 3"/>
    <w:basedOn w:val="Normal"/>
    <w:next w:val="Normal"/>
    <w:pPr>
      <w:keepNext/>
      <w:keepLines/>
      <w:spacing w:before="240" w:after="120" w:line="276" w:lineRule="auto"/>
      <w:ind w:firstLine="0"/>
      <w:jc w:val="left"/>
      <w:outlineLvl w:val="2"/>
    </w:pPr>
    <w:rPr>
      <w:b/>
      <w:bCs/>
      <w:sz w:val="22"/>
      <w:szCs w:val="22"/>
      <w:color w:val="1F3A4D"/>
    </w:rPr>
  </w:style>
  <w:style w:type="paragraph" w:styleId="TOC1">
    <w:name w:val="toc 1"/>
    <w:basedOn w:val="Normal"/>
    <w:next w:val="Normal"/>
    <w:pPr>
      <w:tabs>
        <w:tab w:val="right" w:leader="none" w:pos="9071"/>
      </w:tabs>
      <w:spacing w:after="60"/>
      <w:ind w:left="0" w:firstLine="0"/>
      <w:jc w:val="left"/>
    </w:pPr>
  </w:style>
  <w:style w:type="paragraph" w:styleId="TOC2">
    <w:name w:val="toc 2"/>
    <w:basedOn w:val="Normal"/>
    <w:next w:val="Normal"/>
    <w:pPr>
      <w:tabs>
        <w:tab w:val="right" w:leader="none" w:pos="9071"/>
      </w:tabs>
      <w:spacing w:after="60"/>
      <w:ind w:left="284" w:firstLine="0"/>
      <w:jc w:val="left"/>
    </w:pPr>
  </w:style>
  <w:style w:type="paragraph" w:styleId="TOC3">
    <w:name w:val="toc 3"/>
    <w:basedOn w:val="Normal"/>
    <w:next w:val="Normal"/>
    <w:pPr>
      <w:tabs>
        <w:tab w:val="right" w:leader="none" w:pos="9071"/>
      </w:tabs>
      <w:spacing w:after="60"/>
      <w:ind w:left="568" w:firstLine="0"/>
      <w:jc w:val="left"/>
    </w:pPr>
  </w:style>
  <w:style w:type="paragraph" w:styleId="Title">
    <w:name w:val="Title"/>
    <w:basedOn w:val="Normal"/>
    <w:pPr>
      <w:spacing w:before="2400" w:after="480"/>
      <w:ind w:firstLine="0"/>
      <w:jc w:val="center"/>
    </w:pPr>
    <w:rPr>
      <w:b/>
      <w:bCs/>
      <w:sz w:val="40"/>
      <w:szCs w:val="40"/>
      <w:color w:val="1F3A4D"/>
    </w:rPr>
  </w:style>
  <w:style w:type="paragraph" w:styleId="CoverText">
    <w:name w:val="Cover Text"/>
    <w:basedOn w:val="Normal"/>
    <w:pPr>
      <w:spacing w:after="240"/>
      <w:ind w:firstLine="0"/>
      <w:jc w:val="center"/>
    </w:pPr>
    <w:rPr>
      <w:sz w:val="24"/>
      <w:szCs w:val="24"/>
    </w:rPr>
  </w:style>
  <w:style w:type="paragraph" w:styleId="TOCHeading">
    <w:name w:val="TOC Heading"/>
    <w:basedOn w:val="Normal"/>
    <w:pPr>
      <w:spacing w:after="240"/>
      <w:ind w:firstLine="0"/>
      <w:jc w:val="center"/>
    </w:pPr>
    <w:rPr>
      <w:b/>
      <w:bCs/>
      <w:sz w:val="28"/>
      <w:szCs w:val="28"/>
      <w:color w:val="1F3A4D"/>
    </w:rPr>
  </w:style>
  <w:style w:type="paragraph" w:styleId="Caption">
    <w:name w:val="caption"/>
    <w:basedOn w:val="Normal"/>
    <w:next w:val="Normal"/>
    <w:pPr>
      <w:spacing w:before="60" w:after="240"/>
      <w:ind w:firstLine="0"/>
      <w:jc w:val="center"/>
    </w:pPr>
    <w:rPr>
      <w:sz w:val="18"/>
      <w:szCs w:val="18"/>
    </w:rPr>
  </w:style>
  <w:style w:type="paragraph" w:styleId="TableText">
    <w:name w:val="Table Text"/>
    <w:basedOn w:val="Normal"/>
    <w:pPr>
      <w:spacing w:after="0"/>
      <w:ind w:firstLine="0"/>
      <w:jc w:val="left"/>
    </w:pPr>
    <w:rPr>
      <w:sz w:val="20"/>
      <w:szCs w:val="20"/>
    </w:rPr>
  </w:style>
  <w:style w:type="paragraph" w:styleId="Bibliography">
    <w:name w:val="Bibliography"/>
    <w:basedOn w:val="Normal"/>
    <w:pPr>
      <w:spacing w:after="240" w:line="240" w:lineRule="auto"/>
      <w:ind w:left="0" w:firstLine="0"/>
      <w:jc w:val="left"/>
    </w:pPr>
  </w:style>
  <w:style w:type="paragraph" w:styleId="Signature">
    <w:name w:val="Signature"/>
    <w:basedOn w:val="Normal"/>
    <w:pPr>
      <w:spacing w:after="0"/>
      <w:ind w:firstLine="0"/>
      <w:jc w:val="center"/>
    </w:pPr>
  </w:style>
  <w:style w:type="paragraph" w:styleId="Header">
    <w:name w:val="header"/>
    <w:basedOn w:val="Normal"/>
    <w:pPr>
      <w:spacing w:after="0"/>
      <w:ind w:firstLine="0"/>
      <w:jc w:val="left"/>
    </w:pPr>
    <w:rPr>
      <w:sz w:val="18"/>
      <w:szCs w:val="18"/>
    </w:rPr>
  </w:style>
  <w:style w:type="paragraph" w:styleId="Footer">
    <w:name w:val="footer"/>
    <w:basedOn w:val="Normal"/>
    <w:pPr>
      <w:ind w:firstLine="0"/>
      <w:jc w:val="center"/>
    </w:pPr>
    <w:rPr>
      <w:sz w:val="18"/>
      <w:szCs w:val="18"/>
    </w:rPr>
  </w:style>
  <w:style w:type="table" w:styleId="TableGrid">
    <w:name w:val="Table Grid"/>
    <w:tblPr>
      <w:tblCellMar>
        <w:left w:w="108" w:type="dxa"/>
        <w:right w:w="108" w:type="dxa"/>
      </w:tblCellMar>
    </w:tblPr>
  </w:style>
  <w:style w:type="paragraph" w:styleId="Quote">
    <w:name w:val="Quote"/>
    <w:basedOn w:val="Normal"/>
    <w:next w:val="Normal"/>
    <w:pPr>
      <w:spacing w:before="0" w:after="240" w:line="240" w:lineRule="auto"/>
      <w:ind w:left="2268" w:firstLine="0"/>
      <w:jc w:val="both"/>
    </w:pPr>
    <w:rPr>
      <w:sz w:val="20"/>
      <w:szCs w:val="20"/>
    </w:rPr>
  </w:style>
  <w:style w:type="paragraph" w:styleId="CoverLogo">
    <w:name w:val="Cover Logo"/>
    <w:basedOn w:val="Normal"/>
    <w:pPr>
      <w:spacing w:before="600" w:after="240"/>
      <w:ind w:firstLine="0"/>
      <w:jc w:val="center"/>
    </w:pPr>
  </w:style>
  <w:style w:type="paragraph" w:styleId="CoverParties">
    <w:name w:val="Cover Parties"/>
    <w:basedOn w:val="Normal"/>
    <w:pPr>
      <w:spacing w:after="120"/>
      <w:ind w:firstLine="0"/>
      <w:jc w:val="center"/>
    </w:pPr>
  </w:style>
  <w:style w:type="paragraph" w:styleId="CoverExpert">
    <w:name w:val="Cover Expert"/>
    <w:basedOn w:val="Normal"/>
    <w:pPr>
      <w:spacing w:before="1200" w:after="60"/>
      <w:ind w:firstLine="0"/>
      <w:jc w:val="center"/>
    </w:pPr>
  </w:style>
  <w:style w:type="paragraph" w:styleId="CoverCity">
    <w:name w:val="Cover City"/>
    <w:basedOn w:val="Normal"/>
    <w:pPr>
      <w:spacing w:before="1200" w:after="0"/>
      <w:ind w:firstLine="0"/>
      <w:jc w:val="center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eader1" Type="http://schemas.openxmlformats.org/officeDocument/2006/relationships/header" Target="header1.xml"/><Relationship Id="rIdHeader2" Type="http://schemas.openxmlformats.org/officeDocument/2006/relationships/header" Target="header2.xml"/><Relationship Id="rIdFooter1" Type="http://schemas.openxmlformats.org/officeDocument/2006/relationships/footer" Target="footer1.xml"/><Relationship Id="rIdFooter2" Type="http://schemas.openxmlformats.org/officeDocument/2006/relationships/footer" Target="footer2.xml"/><Relationship Id="rIdImg1" Type="http://schemas.openxmlformats.org/officeDocument/2006/relationships/image" Target="media/capa-logotipo.png"/><Relationship Id="rIdImg2" Type="http://schemas.openxmlformats.org/officeDocument/2006/relationships/image" Target="media/assinatura.png"/><Relationship Id="rIdImg3" Type="http://schemas.openxmlformats.org/officeDocument/2006/relationships/image" Target="media/selo.png"/></Relationships>
</file>

<file path=word/_rels/header1.xml.rels><?xml version="1.0" encoding="UTF-8" standalone="yes"?><Relationships xmlns="http://schemas.openxmlformats.org/package/2006/relationships"><Relationship Id="rIdImg1" Type="http://schemas.openxmlformats.org/officeDocument/2006/relationships/image" Target="media/pagina-fundo.png"/><Relationship Id="rIdImg2" Type="http://schemas.openxmlformats.org/officeDocument/2006/relationships/image" Target="media/logotipo.png"/></Relationships>
</file>

<file path=docProps/app.xml><?xml version="1.0" encoding="utf-8"?>
<Properties xmlns="http://schemas.openxmlformats.org/officeDocument/2006/extended-properties">
  <Application>Sistema Pericial</Application>
</Properties>
</file>

<file path=docProps/core.xml><?xml version="1.0" encoding="utf-8"?>
<cp:coreProperties xmlns:cp="http://schemas.openxmlformats.org/package/2006/metadata/core-properties" xmlns:dc="http://purl.org/dc/elements/1.1/">
  <dc:title>Laudo pericial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_ID">
    <vt:lpwstr>PRODUCT-DEFAULT-REPORT-V2</vt:lpwstr>
  </property>
  <property fmtid="{D5CDD505-2E9C-101B-9397-08002B2CF9AE}" pid="3" name="EXPERT_PROFILE_DIGEST">
    <vt:lpwstr>e952e63d8b7f7cd4f7eed97050f80d55c21eaf1bb2ce22bdc39ec70e740276ad</vt:lpwstr>
  </property>
</Properties>
</file>