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客户交付手册</w:t>
      </w:r>
    </w:p>
    <w:p>
      <w:pPr>
        <w:spacing w:after="160"/>
      </w:pPr>
      <w:r>
        <w:rPr>
          <w:rFonts w:ascii="Microsoft YaHei" w:hAnsi="Microsoft YaHei" w:eastAsia="Microsoft YaHei"/>
          <w:b/>
          <w:i w:val="0"/>
          <w:color w:val="17365D"/>
          <w:sz w:val="56"/>
        </w:rPr>
        <w:t>法院立案/强执查询助手</w:t>
      </w:r>
    </w:p>
    <w:p>
      <w:pPr>
        <w:spacing w:after="360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管理员账号、设备与权限手册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版本：0.2.0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后台地址：</w:t>
      </w:r>
      <w:r>
        <w:rPr>
          <w:rFonts w:ascii="Consolas" w:hAnsi="Consolas" w:eastAsia="Consolas"/>
          <w:b w:val="0"/>
          <w:i w:val="0"/>
          <w:color w:val="17365D"/>
          <w:sz w:val="19"/>
        </w:rPr>
        <w:t>https://court.hyhbrand.xyz</w:t>
      </w:r>
    </w:p>
    <w:p>
      <w:pPr>
        <w:spacing w:before="240" w:after="200"/>
        <w:pBdr>
          <w:bottom w:val="single" w:sz="12" w:color="2E74B5"/>
        </w:pBdr>
      </w:pPr>
    </w:p>
    <w:p>
      <w:pPr>
        <w:pStyle w:val="Heading1"/>
      </w:pPr>
      <w:r>
        <w:t>1. 首次登录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使用部署人员一次性提供的初始管理员账号登录。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立即在用户管理中重置管理员密码。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验证旧会话已撤销，再用新密码重新登录。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至少保留一个启用的 admin；系统会拒绝停用、删除或降级最后一个 admin。</w:t>
      </w:r>
    </w:p>
    <w:p>
      <w:pPr>
        <w:pStyle w:val="Heading1"/>
      </w:pPr>
      <w:r>
        <w:t>2. 角色边界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能力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admin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user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管理系统用户、角色和密码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创建、修改、停用平台账号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在后台按需查看平台凭据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上传模板、查询案件和查看截图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批准或撤销扩展设备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查看与下载报表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全部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仅本人</w:t>
            </w:r>
          </w:p>
        </w:tc>
      </w:tr>
    </w:tbl>
    <w:p>
      <w:pPr>
        <w:spacing w:after="0"/>
      </w:pPr>
    </w:p>
    <w:p>
      <w:pPr>
        <w:pStyle w:val="Heading1"/>
      </w:pPr>
      <w:r>
        <w:t>3. 系统用户管理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新建用户时使用个人账号，不共用管理员账号。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普通操作人员使用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user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角色；只有需要管理权限时才授予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admin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人员离岗时先停用用户，再撤销其会话；需要保留历史关联时使用软删除。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重置密码后通过安全渠道单独通知本人，禁止在多人群发送。</w:t>
      </w:r>
    </w:p>
    <w:p>
      <w:pPr>
        <w:pStyle w:val="Heading1"/>
      </w:pPr>
      <w:r>
        <w:t>4. 平台账号管理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使用不包含明文账号的内部标签，例如“华东组-A”。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录入平台账号和密码；后台使用 AES-256-GCM 加密保存。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密码变更时使用“替换凭据”，不要新建重复标签。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不再使用的账号先停用；删除为软删除，既有案件不会级联消失。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明文查看接口禁止缓存，查看后关闭页面并避免屏幕共享。</w:t>
      </w:r>
    </w:p>
    <w:p>
      <w:pPr>
        <w:pStyle w:val="Heading1"/>
      </w:pPr>
      <w:r>
        <w:t>5. 扩展设备批准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操作人员在 Setup 点击“请求后台授权”，口头或当面提供六码。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在后台核对设备标签、六码和发起时间。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仅批准已确认的客户电脑；不清楚来源时拒绝。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批准后让操作人员刷新 Setup，验证状态为“已授权”。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设备遗失、人员离岗或电脑重装时立即撤销或删除设备。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7365D"/>
                <w:sz w:val="19"/>
              </w:rPr>
              <w:t>扩展令牌与设备绑定，有效期 30 天。Origin 不是身份凭据；只有管理员批准后的设备才能取得令牌。</w:t>
            </w:r>
          </w:p>
        </w:tc>
      </w:tr>
    </w:tbl>
    <w:p>
      <w:pPr>
        <w:pStyle w:val="Heading1"/>
      </w:pPr>
      <w:r>
        <w:t>6. 日常管理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每日查看待人工案件、失败任务和设备异常。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只清理已结束任务；清理不会删除案件、截图、导入批次、报表或平台账号。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监控报表与案件的 30 天保留结果，确认过期对象和元数据一致删除。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每月复核用户、平台账号和设备列表，停用不再需要的主体。</w:t>
      </w:r>
    </w:p>
    <w:p>
      <w:pPr>
        <w:pStyle w:val="Heading1"/>
      </w:pPr>
      <w:r>
        <w:t>7. 安全事件处理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发现异常登录、设备丢失或凭据疑似泄漏时：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撤销相关设备和用户会话。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停用相关平台账号并在法院平台更换密码。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通知运维检查服务器和 Nginx 脱敏日志；不要复制请求体或业务明文。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更换后台用户密码；如怀疑主密钥泄漏，停止服务并按专项密钥迁移流程处理。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记录事件时间、影响范围和处置结论，不记录真实密码或完整业务数据。</w:t>
      </w:r>
    </w:p>
    <w:sectPr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court-helper  |  客户交付资料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管理员账号、设备与权限手册</dc:title>
  <dc:subject>法院立案/强执查询助手客户交付文档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